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135C0" w:rsidRDefault="0058387F" w:rsidP="00CC3CE8">
      <w:pPr>
        <w:spacing w:after="0"/>
        <w:rPr>
          <w:rFonts w:asciiTheme="majorHAnsi" w:hAnsiTheme="majorHAnsi"/>
          <w:b/>
          <w:u w:val="single"/>
        </w:rPr>
      </w:pPr>
      <w:r w:rsidRPr="00CC3CE8">
        <w:rPr>
          <w:rFonts w:asciiTheme="majorHAnsi" w:hAnsiTheme="majorHAnsi"/>
          <w:b/>
          <w:u w:val="single"/>
        </w:rPr>
        <w:t xml:space="preserve">Licenciamento da construção do Hotel Quinta da Gandarinha pela </w:t>
      </w:r>
      <w:r w:rsidR="00CC3CE8">
        <w:rPr>
          <w:rFonts w:asciiTheme="majorHAnsi" w:hAnsiTheme="majorHAnsi"/>
          <w:b/>
          <w:u w:val="single"/>
        </w:rPr>
        <w:t>CMS</w:t>
      </w:r>
    </w:p>
    <w:p w:rsidR="006D0783" w:rsidRDefault="006D0783" w:rsidP="00CC3CE8">
      <w:pPr>
        <w:spacing w:after="0"/>
        <w:rPr>
          <w:rFonts w:asciiTheme="majorHAnsi" w:hAnsiTheme="majorHAnsi"/>
          <w:b/>
          <w:u w:val="single"/>
        </w:rPr>
      </w:pPr>
      <w:r>
        <w:rPr>
          <w:rFonts w:asciiTheme="majorHAnsi" w:hAnsiTheme="majorHAnsi"/>
          <w:b/>
          <w:u w:val="single"/>
        </w:rPr>
        <w:t>Pistas para averiguação</w:t>
      </w:r>
    </w:p>
    <w:p w:rsidR="00CC3CE8" w:rsidRPr="00CC3CE8" w:rsidRDefault="00CC3CE8" w:rsidP="00CC3CE8">
      <w:pPr>
        <w:spacing w:after="0"/>
        <w:rPr>
          <w:rFonts w:asciiTheme="majorHAnsi" w:hAnsiTheme="majorHAnsi"/>
          <w:b/>
          <w:u w:val="single"/>
        </w:rPr>
      </w:pPr>
    </w:p>
    <w:p w:rsidR="003135C0" w:rsidRPr="00CC3CE8" w:rsidRDefault="003135C0" w:rsidP="00BF7F84">
      <w:pPr>
        <w:pStyle w:val="PargrafodaLista"/>
        <w:numPr>
          <w:ilvl w:val="0"/>
          <w:numId w:val="6"/>
        </w:numPr>
        <w:rPr>
          <w:rFonts w:asciiTheme="majorHAnsi" w:hAnsiTheme="majorHAnsi"/>
          <w:b/>
        </w:rPr>
      </w:pPr>
      <w:r w:rsidRPr="00CC3CE8">
        <w:rPr>
          <w:rFonts w:asciiTheme="majorHAnsi" w:hAnsiTheme="majorHAnsi"/>
          <w:b/>
        </w:rPr>
        <w:t>Descrição do projecto</w:t>
      </w:r>
    </w:p>
    <w:p w:rsidR="003135C0" w:rsidRPr="00CC3CE8" w:rsidRDefault="003135C0" w:rsidP="003135C0">
      <w:pPr>
        <w:pStyle w:val="PargrafodaLista"/>
        <w:rPr>
          <w:rFonts w:asciiTheme="majorHAnsi" w:hAnsiTheme="majorHAnsi"/>
        </w:rPr>
      </w:pPr>
      <w:r w:rsidRPr="00CC3CE8">
        <w:rPr>
          <w:rFonts w:asciiTheme="majorHAnsi" w:hAnsiTheme="majorHAnsi"/>
        </w:rPr>
        <w:t>(in Plubituris, 9 Jan 2018)</w:t>
      </w:r>
    </w:p>
    <w:p w:rsidR="003135C0" w:rsidRPr="00CC3CE8" w:rsidRDefault="003135C0" w:rsidP="00CC3CE8">
      <w:pPr>
        <w:rPr>
          <w:rFonts w:asciiTheme="majorHAnsi" w:hAnsiTheme="majorHAnsi" w:cs="Arial"/>
          <w:i/>
          <w:color w:val="444444"/>
          <w:shd w:val="clear" w:color="auto" w:fill="FFFFFF"/>
        </w:rPr>
      </w:pPr>
      <w:r w:rsidRPr="00CC3CE8">
        <w:rPr>
          <w:rFonts w:asciiTheme="majorHAnsi" w:hAnsiTheme="majorHAnsi" w:cs="Arial"/>
          <w:i/>
          <w:color w:val="444444"/>
          <w:shd w:val="clear" w:color="auto" w:fill="FFFFFF"/>
        </w:rPr>
        <w:t>O projecto de Sintra, de cinco estrelas, estará concluído em 2019. O palacete, conhecido como a Casa da Gandarinha, vai preservar a fachada original do edifício, onde estarão localizados diversos serviços. Os 100 quartos e outras facilidades, nomeadamente salas de congresso para 600 pessoas, ficarão situados nos dois “blocos contemporâneos”, em construção ao lado da estrutura principal do Turim Sintra Palace Hotel.</w:t>
      </w:r>
    </w:p>
    <w:p w:rsidR="00CC3CE8" w:rsidRPr="00CC3CE8" w:rsidRDefault="00A43F65" w:rsidP="00F5752A">
      <w:pPr>
        <w:pStyle w:val="PargrafodaLista"/>
        <w:numPr>
          <w:ilvl w:val="0"/>
          <w:numId w:val="6"/>
        </w:numPr>
        <w:rPr>
          <w:rFonts w:asciiTheme="majorHAnsi" w:hAnsiTheme="majorHAnsi"/>
        </w:rPr>
      </w:pPr>
      <w:r w:rsidRPr="00CC3CE8">
        <w:rPr>
          <w:rFonts w:asciiTheme="majorHAnsi" w:hAnsiTheme="majorHAnsi"/>
          <w:b/>
        </w:rPr>
        <w:t>Conclusões retiradas da análise do processo OB</w:t>
      </w:r>
      <w:r w:rsidR="006D0783">
        <w:rPr>
          <w:rFonts w:asciiTheme="majorHAnsi" w:hAnsiTheme="majorHAnsi"/>
          <w:b/>
        </w:rPr>
        <w:t xml:space="preserve"> </w:t>
      </w:r>
      <w:r w:rsidRPr="00CC3CE8">
        <w:rPr>
          <w:rFonts w:asciiTheme="majorHAnsi" w:hAnsiTheme="majorHAnsi"/>
          <w:b/>
        </w:rPr>
        <w:t>/</w:t>
      </w:r>
      <w:r w:rsidR="006D0783">
        <w:rPr>
          <w:rFonts w:asciiTheme="majorHAnsi" w:hAnsiTheme="majorHAnsi"/>
          <w:b/>
        </w:rPr>
        <w:t xml:space="preserve"> </w:t>
      </w:r>
      <w:r w:rsidRPr="00CC3CE8">
        <w:rPr>
          <w:rFonts w:asciiTheme="majorHAnsi" w:hAnsiTheme="majorHAnsi"/>
          <w:b/>
        </w:rPr>
        <w:t>938</w:t>
      </w:r>
      <w:r w:rsidR="006D0783">
        <w:rPr>
          <w:rFonts w:asciiTheme="majorHAnsi" w:hAnsiTheme="majorHAnsi"/>
          <w:b/>
        </w:rPr>
        <w:t xml:space="preserve"> </w:t>
      </w:r>
      <w:r w:rsidRPr="00CC3CE8">
        <w:rPr>
          <w:rFonts w:asciiTheme="majorHAnsi" w:hAnsiTheme="majorHAnsi"/>
          <w:b/>
        </w:rPr>
        <w:t>/</w:t>
      </w:r>
      <w:r w:rsidR="006D0783">
        <w:rPr>
          <w:rFonts w:asciiTheme="majorHAnsi" w:hAnsiTheme="majorHAnsi"/>
          <w:b/>
        </w:rPr>
        <w:t xml:space="preserve"> </w:t>
      </w:r>
      <w:r w:rsidRPr="00CC3CE8">
        <w:rPr>
          <w:rFonts w:asciiTheme="majorHAnsi" w:hAnsiTheme="majorHAnsi"/>
          <w:b/>
        </w:rPr>
        <w:t>2003</w:t>
      </w:r>
    </w:p>
    <w:p w:rsidR="003135C0" w:rsidRPr="00CC3CE8" w:rsidRDefault="00DB6967" w:rsidP="00CC3CE8">
      <w:pPr>
        <w:rPr>
          <w:rFonts w:asciiTheme="majorHAnsi" w:hAnsiTheme="majorHAnsi"/>
        </w:rPr>
      </w:pPr>
      <w:r w:rsidRPr="00CC3CE8">
        <w:rPr>
          <w:rFonts w:asciiTheme="majorHAnsi" w:hAnsiTheme="majorHAnsi"/>
        </w:rPr>
        <w:t xml:space="preserve">O </w:t>
      </w:r>
      <w:r w:rsidR="003135C0" w:rsidRPr="00CC3CE8">
        <w:rPr>
          <w:rFonts w:asciiTheme="majorHAnsi" w:hAnsiTheme="majorHAnsi"/>
        </w:rPr>
        <w:t xml:space="preserve">actual </w:t>
      </w:r>
      <w:r w:rsidRPr="00CC3CE8">
        <w:rPr>
          <w:rFonts w:asciiTheme="majorHAnsi" w:hAnsiTheme="majorHAnsi"/>
        </w:rPr>
        <w:t xml:space="preserve">projecto de arquitectura entrou na CMS em Julho de 2003 e foi aprovado por Fernando Seara em </w:t>
      </w:r>
      <w:r w:rsidR="003135C0" w:rsidRPr="00CC3CE8">
        <w:rPr>
          <w:rFonts w:asciiTheme="majorHAnsi" w:hAnsiTheme="majorHAnsi"/>
        </w:rPr>
        <w:t xml:space="preserve">Setembro </w:t>
      </w:r>
      <w:r w:rsidRPr="00CC3CE8">
        <w:rPr>
          <w:rFonts w:asciiTheme="majorHAnsi" w:hAnsiTheme="majorHAnsi"/>
        </w:rPr>
        <w:t>de 2005</w:t>
      </w:r>
      <w:r w:rsidR="003135C0" w:rsidRPr="00CC3CE8">
        <w:rPr>
          <w:rFonts w:asciiTheme="majorHAnsi" w:hAnsiTheme="majorHAnsi"/>
        </w:rPr>
        <w:t>, acabando por o processo ser deferido em Janeiro de 2011</w:t>
      </w:r>
      <w:r w:rsidRPr="00CC3CE8">
        <w:rPr>
          <w:rFonts w:asciiTheme="majorHAnsi" w:hAnsiTheme="majorHAnsi"/>
        </w:rPr>
        <w:t xml:space="preserve">. </w:t>
      </w:r>
    </w:p>
    <w:p w:rsidR="003B5F08" w:rsidRPr="00CC3CE8" w:rsidRDefault="003B5F08" w:rsidP="00486227">
      <w:pPr>
        <w:rPr>
          <w:rFonts w:asciiTheme="majorHAnsi" w:hAnsiTheme="majorHAnsi"/>
        </w:rPr>
      </w:pPr>
      <w:r w:rsidRPr="00CC3CE8">
        <w:rPr>
          <w:rFonts w:asciiTheme="majorHAnsi" w:hAnsiTheme="majorHAnsi"/>
        </w:rPr>
        <w:t xml:space="preserve">O processo foi longo e atribulado: </w:t>
      </w:r>
    </w:p>
    <w:p w:rsidR="003B5F08" w:rsidRPr="00CC3CE8" w:rsidRDefault="003B5F08" w:rsidP="003B5F08">
      <w:pPr>
        <w:pStyle w:val="PargrafodaLista"/>
        <w:numPr>
          <w:ilvl w:val="0"/>
          <w:numId w:val="2"/>
        </w:numPr>
        <w:rPr>
          <w:rFonts w:asciiTheme="majorHAnsi" w:hAnsiTheme="majorHAnsi"/>
        </w:rPr>
      </w:pPr>
      <w:r w:rsidRPr="00CC3CE8">
        <w:rPr>
          <w:rFonts w:asciiTheme="majorHAnsi" w:hAnsiTheme="majorHAnsi"/>
        </w:rPr>
        <w:t>Dois chumbos por parte d</w:t>
      </w:r>
      <w:r w:rsidR="003135C0" w:rsidRPr="00CC3CE8">
        <w:rPr>
          <w:rFonts w:asciiTheme="majorHAnsi" w:hAnsiTheme="majorHAnsi"/>
        </w:rPr>
        <w:t>o IPPAR</w:t>
      </w:r>
      <w:r w:rsidRPr="00CC3CE8">
        <w:rPr>
          <w:rFonts w:asciiTheme="majorHAnsi" w:hAnsiTheme="majorHAnsi"/>
        </w:rPr>
        <w:t xml:space="preserve"> </w:t>
      </w:r>
    </w:p>
    <w:p w:rsidR="003B5F08" w:rsidRPr="00CC3CE8" w:rsidRDefault="003B5F08" w:rsidP="003B5F08">
      <w:pPr>
        <w:pStyle w:val="PargrafodaLista"/>
        <w:numPr>
          <w:ilvl w:val="0"/>
          <w:numId w:val="2"/>
        </w:numPr>
        <w:rPr>
          <w:rFonts w:asciiTheme="majorHAnsi" w:hAnsiTheme="majorHAnsi"/>
        </w:rPr>
      </w:pPr>
      <w:r w:rsidRPr="00CC3CE8">
        <w:rPr>
          <w:rFonts w:asciiTheme="majorHAnsi" w:hAnsiTheme="majorHAnsi"/>
        </w:rPr>
        <w:t>A falta de estudo</w:t>
      </w:r>
      <w:r w:rsidR="00C47DE6" w:rsidRPr="00CC3CE8">
        <w:rPr>
          <w:rFonts w:asciiTheme="majorHAnsi" w:hAnsiTheme="majorHAnsi"/>
        </w:rPr>
        <w:t>s</w:t>
      </w:r>
      <w:r w:rsidRPr="00CC3CE8">
        <w:rPr>
          <w:rFonts w:asciiTheme="majorHAnsi" w:hAnsiTheme="majorHAnsi"/>
        </w:rPr>
        <w:t xml:space="preserve"> hidrogeológico</w:t>
      </w:r>
      <w:r w:rsidR="00C47DE6" w:rsidRPr="00CC3CE8">
        <w:rPr>
          <w:rFonts w:asciiTheme="majorHAnsi" w:hAnsiTheme="majorHAnsi"/>
        </w:rPr>
        <w:t>s</w:t>
      </w:r>
      <w:r w:rsidRPr="00CC3CE8">
        <w:rPr>
          <w:rFonts w:asciiTheme="majorHAnsi" w:hAnsiTheme="majorHAnsi"/>
        </w:rPr>
        <w:t xml:space="preserve"> </w:t>
      </w:r>
      <w:r w:rsidR="003135C0" w:rsidRPr="00CC3CE8">
        <w:rPr>
          <w:rFonts w:asciiTheme="majorHAnsi" w:hAnsiTheme="majorHAnsi"/>
        </w:rPr>
        <w:t xml:space="preserve">e de trânsito </w:t>
      </w:r>
      <w:r w:rsidRPr="00CC3CE8">
        <w:rPr>
          <w:rFonts w:asciiTheme="majorHAnsi" w:hAnsiTheme="majorHAnsi"/>
        </w:rPr>
        <w:t>recomendado</w:t>
      </w:r>
      <w:r w:rsidR="00C47DE6" w:rsidRPr="00CC3CE8">
        <w:rPr>
          <w:rFonts w:asciiTheme="majorHAnsi" w:hAnsiTheme="majorHAnsi"/>
        </w:rPr>
        <w:t>s</w:t>
      </w:r>
      <w:r w:rsidRPr="00CC3CE8">
        <w:rPr>
          <w:rFonts w:asciiTheme="majorHAnsi" w:hAnsiTheme="majorHAnsi"/>
        </w:rPr>
        <w:t xml:space="preserve"> por técnicos da Câmara</w:t>
      </w:r>
      <w:r w:rsidR="00C47DE6" w:rsidRPr="00CC3CE8">
        <w:rPr>
          <w:rFonts w:asciiTheme="majorHAnsi" w:hAnsiTheme="majorHAnsi"/>
        </w:rPr>
        <w:t xml:space="preserve"> e pelo IPPAR</w:t>
      </w:r>
    </w:p>
    <w:p w:rsidR="00B63E07" w:rsidRPr="00CC3CE8" w:rsidRDefault="00B63E07" w:rsidP="00B63E07">
      <w:pPr>
        <w:pStyle w:val="PargrafodaLista"/>
        <w:numPr>
          <w:ilvl w:val="0"/>
          <w:numId w:val="2"/>
        </w:numPr>
        <w:rPr>
          <w:rFonts w:asciiTheme="majorHAnsi" w:hAnsiTheme="majorHAnsi"/>
        </w:rPr>
      </w:pPr>
      <w:r w:rsidRPr="00CC3CE8">
        <w:rPr>
          <w:rFonts w:asciiTheme="majorHAnsi" w:hAnsiTheme="majorHAnsi"/>
        </w:rPr>
        <w:t>A falta de estudo e de acompanhamento arqueológico</w:t>
      </w:r>
    </w:p>
    <w:p w:rsidR="00CC3CE8" w:rsidRPr="00CC3CE8" w:rsidRDefault="00B63E07" w:rsidP="00CC3CE8">
      <w:pPr>
        <w:pStyle w:val="PargrafodaLista"/>
        <w:numPr>
          <w:ilvl w:val="0"/>
          <w:numId w:val="2"/>
        </w:numPr>
        <w:rPr>
          <w:rFonts w:asciiTheme="majorHAnsi" w:hAnsiTheme="majorHAnsi"/>
        </w:rPr>
      </w:pPr>
      <w:r w:rsidRPr="00CC3CE8">
        <w:rPr>
          <w:rFonts w:asciiTheme="majorHAnsi" w:hAnsiTheme="majorHAnsi"/>
        </w:rPr>
        <w:t xml:space="preserve">E, acima de tudo – e apesar de nunca mencionada no processo -, a </w:t>
      </w:r>
      <w:r w:rsidR="00C47DE6" w:rsidRPr="00CC3CE8">
        <w:rPr>
          <w:rFonts w:asciiTheme="majorHAnsi" w:hAnsiTheme="majorHAnsi"/>
        </w:rPr>
        <w:t>violação d</w:t>
      </w:r>
      <w:r w:rsidRPr="00CC3CE8">
        <w:rPr>
          <w:rFonts w:asciiTheme="majorHAnsi" w:hAnsiTheme="majorHAnsi"/>
        </w:rPr>
        <w:t xml:space="preserve">as regras do Plano de Urbanização de Sintra no que toca </w:t>
      </w:r>
      <w:r w:rsidR="003135C0" w:rsidRPr="00CC3CE8">
        <w:rPr>
          <w:rFonts w:asciiTheme="majorHAnsi" w:hAnsiTheme="majorHAnsi"/>
        </w:rPr>
        <w:t xml:space="preserve">aos índices </w:t>
      </w:r>
      <w:r w:rsidRPr="00CC3CE8">
        <w:rPr>
          <w:rFonts w:asciiTheme="majorHAnsi" w:hAnsiTheme="majorHAnsi"/>
        </w:rPr>
        <w:t xml:space="preserve">de </w:t>
      </w:r>
      <w:r w:rsidR="003135C0" w:rsidRPr="00CC3CE8">
        <w:rPr>
          <w:rFonts w:asciiTheme="majorHAnsi" w:hAnsiTheme="majorHAnsi"/>
        </w:rPr>
        <w:t xml:space="preserve">ocupação do terreno e de área </w:t>
      </w:r>
      <w:r w:rsidRPr="00CC3CE8">
        <w:rPr>
          <w:rFonts w:asciiTheme="majorHAnsi" w:hAnsiTheme="majorHAnsi"/>
        </w:rPr>
        <w:t>constru</w:t>
      </w:r>
      <w:r w:rsidR="003135C0" w:rsidRPr="00CC3CE8">
        <w:rPr>
          <w:rFonts w:asciiTheme="majorHAnsi" w:hAnsiTheme="majorHAnsi"/>
        </w:rPr>
        <w:t>ída</w:t>
      </w:r>
      <w:r w:rsidRPr="00CC3CE8">
        <w:rPr>
          <w:rFonts w:asciiTheme="majorHAnsi" w:hAnsiTheme="majorHAnsi"/>
        </w:rPr>
        <w:t>.</w:t>
      </w:r>
    </w:p>
    <w:p w:rsidR="00CC3CE8" w:rsidRPr="00CC3CE8" w:rsidRDefault="00CC3CE8" w:rsidP="00CC3CE8">
      <w:pPr>
        <w:pStyle w:val="PargrafodaLista"/>
        <w:rPr>
          <w:rFonts w:asciiTheme="majorHAnsi" w:hAnsiTheme="majorHAnsi"/>
        </w:rPr>
      </w:pPr>
    </w:p>
    <w:p w:rsidR="00BF7F84" w:rsidRPr="00CC3CE8" w:rsidRDefault="00CF0AB9" w:rsidP="00CC3CE8">
      <w:pPr>
        <w:pStyle w:val="PargrafodaLista"/>
        <w:numPr>
          <w:ilvl w:val="0"/>
          <w:numId w:val="6"/>
        </w:numPr>
        <w:rPr>
          <w:rFonts w:asciiTheme="majorHAnsi" w:hAnsiTheme="majorHAnsi"/>
          <w:b/>
        </w:rPr>
      </w:pPr>
      <w:r w:rsidRPr="00CC3CE8">
        <w:rPr>
          <w:rFonts w:asciiTheme="majorHAnsi" w:hAnsiTheme="majorHAnsi"/>
          <w:b/>
        </w:rPr>
        <w:t>Coeficiente de ocupação do solo e índice de construção</w:t>
      </w:r>
      <w:r w:rsidR="00096083" w:rsidRPr="00CC3CE8">
        <w:rPr>
          <w:rFonts w:asciiTheme="majorHAnsi" w:hAnsiTheme="majorHAnsi"/>
          <w:b/>
        </w:rPr>
        <w:t xml:space="preserve"> </w:t>
      </w:r>
    </w:p>
    <w:p w:rsidR="00577AA3" w:rsidRPr="00CC3CE8" w:rsidRDefault="00CC3CE8" w:rsidP="00D90FA8">
      <w:pPr>
        <w:rPr>
          <w:rFonts w:asciiTheme="majorHAnsi" w:hAnsiTheme="majorHAnsi"/>
        </w:rPr>
      </w:pPr>
      <w:r w:rsidRPr="00CC3CE8">
        <w:rPr>
          <w:rFonts w:asciiTheme="majorHAnsi" w:hAnsiTheme="majorHAnsi"/>
          <w:noProof/>
          <w:lang w:eastAsia="pt-PT"/>
        </w:rPr>
        <w:drawing>
          <wp:anchor distT="0" distB="0" distL="114300" distR="114300" simplePos="0" relativeHeight="251665408" behindDoc="0" locked="0" layoutInCell="1" allowOverlap="1" wp14:anchorId="108E0194" wp14:editId="32DF5279">
            <wp:simplePos x="0" y="0"/>
            <wp:positionH relativeFrom="column">
              <wp:posOffset>2933065</wp:posOffset>
            </wp:positionH>
            <wp:positionV relativeFrom="paragraph">
              <wp:posOffset>59690</wp:posOffset>
            </wp:positionV>
            <wp:extent cx="2488565" cy="1764030"/>
            <wp:effectExtent l="0" t="0" r="6985" b="7620"/>
            <wp:wrapThrough wrapText="bothSides">
              <wp:wrapPolygon edited="0">
                <wp:start x="0" y="0"/>
                <wp:lineTo x="0" y="21460"/>
                <wp:lineTo x="21495" y="21460"/>
                <wp:lineTo x="21495" y="0"/>
                <wp:lineTo x="0" y="0"/>
              </wp:wrapPolygon>
            </wp:wrapThrough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8565" cy="1764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F7F84" w:rsidRPr="00CC3CE8">
        <w:rPr>
          <w:rFonts w:asciiTheme="majorHAnsi" w:hAnsiTheme="majorHAnsi"/>
        </w:rPr>
        <w:t>R</w:t>
      </w:r>
      <w:r w:rsidR="00577AA3" w:rsidRPr="00CC3CE8">
        <w:rPr>
          <w:rFonts w:asciiTheme="majorHAnsi" w:hAnsiTheme="majorHAnsi"/>
        </w:rPr>
        <w:t xml:space="preserve">elativamente ao coeficiente de ocupação do solo e índice de construção, </w:t>
      </w:r>
      <w:r w:rsidR="00C63501">
        <w:rPr>
          <w:rFonts w:asciiTheme="majorHAnsi" w:hAnsiTheme="majorHAnsi"/>
        </w:rPr>
        <w:t xml:space="preserve">o Departamento de Urbanismo </w:t>
      </w:r>
      <w:r w:rsidR="00577AA3" w:rsidRPr="00CC3CE8">
        <w:rPr>
          <w:rFonts w:asciiTheme="majorHAnsi" w:hAnsiTheme="majorHAnsi"/>
        </w:rPr>
        <w:t>afirma</w:t>
      </w:r>
      <w:r w:rsidR="00CF0AB9" w:rsidRPr="00CC3CE8">
        <w:rPr>
          <w:rFonts w:asciiTheme="majorHAnsi" w:hAnsiTheme="majorHAnsi"/>
        </w:rPr>
        <w:t xml:space="preserve"> </w:t>
      </w:r>
      <w:r w:rsidR="00577AA3" w:rsidRPr="00CC3CE8">
        <w:rPr>
          <w:rFonts w:asciiTheme="majorHAnsi" w:hAnsiTheme="majorHAnsi"/>
        </w:rPr>
        <w:t>que «a proposta respeita praticamente os índices constantes no processo antecedente OB / 245 / 1998 que foi aprovado pela Câmara, e cuja justificaç</w:t>
      </w:r>
      <w:r w:rsidR="006B5862" w:rsidRPr="00CC3CE8">
        <w:rPr>
          <w:rFonts w:asciiTheme="majorHAnsi" w:hAnsiTheme="majorHAnsi"/>
        </w:rPr>
        <w:t>ão se encontra no</w:t>
      </w:r>
      <w:r w:rsidR="00577AA3" w:rsidRPr="00CC3CE8">
        <w:rPr>
          <w:rFonts w:asciiTheme="majorHAnsi" w:hAnsiTheme="majorHAnsi"/>
        </w:rPr>
        <w:t xml:space="preserve"> parecer do Sr. Arqº Consultor de 19/06/98».</w:t>
      </w:r>
    </w:p>
    <w:p w:rsidR="00CC3CE8" w:rsidRDefault="00C63501" w:rsidP="00D90FA8">
      <w:pPr>
        <w:rPr>
          <w:rFonts w:asciiTheme="majorHAnsi" w:hAnsiTheme="majorHAnsi"/>
        </w:rPr>
      </w:pPr>
      <w:r w:rsidRPr="00CC3CE8">
        <w:rPr>
          <w:rFonts w:asciiTheme="majorHAnsi" w:hAnsiTheme="majorHAnsi"/>
          <w:noProof/>
          <w:lang w:eastAsia="pt-PT"/>
        </w:rPr>
        <w:drawing>
          <wp:anchor distT="0" distB="0" distL="114300" distR="114300" simplePos="0" relativeHeight="251663360" behindDoc="0" locked="0" layoutInCell="1" allowOverlap="1" wp14:anchorId="5AE53F7B" wp14:editId="27C133D7">
            <wp:simplePos x="0" y="0"/>
            <wp:positionH relativeFrom="column">
              <wp:posOffset>2148205</wp:posOffset>
            </wp:positionH>
            <wp:positionV relativeFrom="paragraph">
              <wp:posOffset>668020</wp:posOffset>
            </wp:positionV>
            <wp:extent cx="3903345" cy="1699260"/>
            <wp:effectExtent l="0" t="0" r="1905" b="0"/>
            <wp:wrapThrough wrapText="bothSides">
              <wp:wrapPolygon edited="0">
                <wp:start x="0" y="0"/>
                <wp:lineTo x="0" y="21309"/>
                <wp:lineTo x="21505" y="21309"/>
                <wp:lineTo x="21505" y="0"/>
                <wp:lineTo x="0" y="0"/>
              </wp:wrapPolygon>
            </wp:wrapThrough>
            <wp:docPr id="22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3345" cy="1699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77AA3" w:rsidRPr="00CC3CE8">
        <w:rPr>
          <w:rFonts w:asciiTheme="majorHAnsi" w:hAnsiTheme="majorHAnsi"/>
        </w:rPr>
        <w:t xml:space="preserve">Ou seja, </w:t>
      </w:r>
      <w:r w:rsidR="00C47DE6" w:rsidRPr="00CC3CE8">
        <w:rPr>
          <w:rFonts w:asciiTheme="majorHAnsi" w:hAnsiTheme="majorHAnsi"/>
        </w:rPr>
        <w:t>remete para a</w:t>
      </w:r>
      <w:r w:rsidR="00577AA3" w:rsidRPr="00CC3CE8">
        <w:rPr>
          <w:rFonts w:asciiTheme="majorHAnsi" w:hAnsiTheme="majorHAnsi"/>
        </w:rPr>
        <w:t xml:space="preserve"> aprovação de uma </w:t>
      </w:r>
      <w:r w:rsidR="00CF0AB9" w:rsidRPr="00CC3CE8">
        <w:rPr>
          <w:rFonts w:asciiTheme="majorHAnsi" w:hAnsiTheme="majorHAnsi"/>
        </w:rPr>
        <w:t xml:space="preserve">outra </w:t>
      </w:r>
      <w:r w:rsidR="00577AA3" w:rsidRPr="00CC3CE8">
        <w:rPr>
          <w:rFonts w:asciiTheme="majorHAnsi" w:hAnsiTheme="majorHAnsi"/>
        </w:rPr>
        <w:t xml:space="preserve">proposta que não tinha sido aceite pelo IPPAR e que não respeita as disposições do Plano de Urbanização de Sintra. </w:t>
      </w:r>
    </w:p>
    <w:p w:rsidR="009177A5" w:rsidRPr="00CC3CE8" w:rsidRDefault="00CF0AB9" w:rsidP="00D90FA8">
      <w:pPr>
        <w:rPr>
          <w:rFonts w:asciiTheme="majorHAnsi" w:hAnsiTheme="majorHAnsi"/>
        </w:rPr>
      </w:pPr>
      <w:r w:rsidRPr="00CC3CE8">
        <w:rPr>
          <w:rFonts w:asciiTheme="majorHAnsi" w:hAnsiTheme="majorHAnsi"/>
        </w:rPr>
        <w:t xml:space="preserve">No </w:t>
      </w:r>
      <w:r w:rsidR="00577AA3" w:rsidRPr="00CC3CE8">
        <w:rPr>
          <w:rFonts w:asciiTheme="majorHAnsi" w:hAnsiTheme="majorHAnsi"/>
        </w:rPr>
        <w:t>Plano</w:t>
      </w:r>
      <w:r w:rsidRPr="00CC3CE8">
        <w:rPr>
          <w:rFonts w:asciiTheme="majorHAnsi" w:hAnsiTheme="majorHAnsi"/>
        </w:rPr>
        <w:t xml:space="preserve"> de Urbanização de Sintra</w:t>
      </w:r>
      <w:r w:rsidR="00577AA3" w:rsidRPr="00CC3CE8">
        <w:rPr>
          <w:rFonts w:asciiTheme="majorHAnsi" w:hAnsiTheme="majorHAnsi"/>
        </w:rPr>
        <w:t xml:space="preserve">, </w:t>
      </w:r>
      <w:r w:rsidRPr="00CC3CE8">
        <w:rPr>
          <w:rFonts w:asciiTheme="majorHAnsi" w:hAnsiTheme="majorHAnsi"/>
        </w:rPr>
        <w:t xml:space="preserve">que no próprio processo a Câmara refere ser um instrumento jurídico com efeito, </w:t>
      </w:r>
      <w:r w:rsidR="00577AA3" w:rsidRPr="00CC3CE8">
        <w:rPr>
          <w:rFonts w:asciiTheme="majorHAnsi" w:hAnsiTheme="majorHAnsi"/>
        </w:rPr>
        <w:t>a Quinta da Gandarinha está incluída na Zona das Quintas denominada Q3</w:t>
      </w:r>
      <w:r w:rsidR="009177A5" w:rsidRPr="00CC3CE8">
        <w:rPr>
          <w:rFonts w:asciiTheme="majorHAnsi" w:hAnsiTheme="majorHAnsi"/>
        </w:rPr>
        <w:t xml:space="preserve"> e o</w:t>
      </w:r>
      <w:r w:rsidR="00C47DE6" w:rsidRPr="00CC3CE8">
        <w:rPr>
          <w:rFonts w:asciiTheme="majorHAnsi" w:hAnsiTheme="majorHAnsi"/>
        </w:rPr>
        <w:t>s</w:t>
      </w:r>
      <w:r w:rsidR="009177A5" w:rsidRPr="00CC3CE8">
        <w:rPr>
          <w:rFonts w:asciiTheme="majorHAnsi" w:hAnsiTheme="majorHAnsi"/>
        </w:rPr>
        <w:t xml:space="preserve"> Art</w:t>
      </w:r>
      <w:r w:rsidR="00C47DE6" w:rsidRPr="00CC3CE8">
        <w:rPr>
          <w:rFonts w:asciiTheme="majorHAnsi" w:hAnsiTheme="majorHAnsi"/>
        </w:rPr>
        <w:t>s.11º e 12º são claros quanto aos índices de ocupação:</w:t>
      </w:r>
      <w:r w:rsidR="009177A5" w:rsidRPr="00CC3CE8">
        <w:rPr>
          <w:rFonts w:asciiTheme="majorHAnsi" w:hAnsiTheme="majorHAnsi"/>
        </w:rPr>
        <w:t xml:space="preserve"> </w:t>
      </w:r>
      <w:r w:rsidR="00577AA3" w:rsidRPr="00CC3CE8">
        <w:rPr>
          <w:rFonts w:asciiTheme="majorHAnsi" w:hAnsiTheme="majorHAnsi"/>
        </w:rPr>
        <w:t xml:space="preserve"> </w:t>
      </w:r>
    </w:p>
    <w:p w:rsidR="009177A5" w:rsidRPr="00CC3CE8" w:rsidRDefault="00577AA3" w:rsidP="00D90FA8">
      <w:pPr>
        <w:rPr>
          <w:rFonts w:asciiTheme="majorHAnsi" w:hAnsiTheme="majorHAnsi"/>
          <w:b/>
        </w:rPr>
      </w:pPr>
      <w:r w:rsidRPr="00CC3CE8">
        <w:rPr>
          <w:rFonts w:asciiTheme="majorHAnsi" w:hAnsiTheme="majorHAnsi"/>
          <w:b/>
        </w:rPr>
        <w:t xml:space="preserve">  </w:t>
      </w:r>
    </w:p>
    <w:p w:rsidR="009177A5" w:rsidRPr="00CC3CE8" w:rsidRDefault="009177A5" w:rsidP="00D90FA8">
      <w:pPr>
        <w:rPr>
          <w:rFonts w:asciiTheme="majorHAnsi" w:hAnsiTheme="majorHAnsi"/>
        </w:rPr>
      </w:pPr>
      <w:r w:rsidRPr="00CC3CE8">
        <w:rPr>
          <w:rFonts w:asciiTheme="majorHAnsi" w:hAnsiTheme="majorHAnsi"/>
        </w:rPr>
        <w:lastRenderedPageBreak/>
        <w:t>Ou seja, se o terreno tem 5 843m2, não pode ter uma ocupação superior a 291,15 m2 nem uma área bruta de construção superior a 584,3 m2 + 116,86 m2 de anexos, o que equivale a uma área bruta total de construção de 700,86 m2.</w:t>
      </w:r>
    </w:p>
    <w:p w:rsidR="009177A5" w:rsidRPr="00CC3CE8" w:rsidRDefault="009177A5" w:rsidP="00D90FA8">
      <w:pPr>
        <w:rPr>
          <w:rFonts w:asciiTheme="majorHAnsi" w:hAnsiTheme="majorHAnsi"/>
        </w:rPr>
      </w:pPr>
      <w:r w:rsidRPr="00CC3CE8">
        <w:rPr>
          <w:rFonts w:asciiTheme="majorHAnsi" w:hAnsiTheme="majorHAnsi"/>
        </w:rPr>
        <w:t>Ora</w:t>
      </w:r>
      <w:r w:rsidR="00C47DE6" w:rsidRPr="00CC3CE8">
        <w:rPr>
          <w:rFonts w:asciiTheme="majorHAnsi" w:hAnsiTheme="majorHAnsi"/>
        </w:rPr>
        <w:t>,</w:t>
      </w:r>
      <w:r w:rsidRPr="00CC3CE8">
        <w:rPr>
          <w:rFonts w:asciiTheme="majorHAnsi" w:hAnsiTheme="majorHAnsi"/>
        </w:rPr>
        <w:t xml:space="preserve"> o que o projecto apresenta excede imensamente esses limites: a área total de ocupação é de 2 5</w:t>
      </w:r>
      <w:r w:rsidR="0018312D" w:rsidRPr="00CC3CE8">
        <w:rPr>
          <w:rFonts w:asciiTheme="majorHAnsi" w:hAnsiTheme="majorHAnsi"/>
        </w:rPr>
        <w:t>95</w:t>
      </w:r>
      <w:r w:rsidRPr="00CC3CE8">
        <w:rPr>
          <w:rFonts w:asciiTheme="majorHAnsi" w:hAnsiTheme="majorHAnsi"/>
        </w:rPr>
        <w:t xml:space="preserve"> m2 e </w:t>
      </w:r>
      <w:r w:rsidR="006555E4" w:rsidRPr="00CC3CE8">
        <w:rPr>
          <w:rFonts w:asciiTheme="majorHAnsi" w:hAnsiTheme="majorHAnsi"/>
        </w:rPr>
        <w:t xml:space="preserve">a </w:t>
      </w:r>
      <w:r w:rsidRPr="00CC3CE8">
        <w:rPr>
          <w:rFonts w:asciiTheme="majorHAnsi" w:hAnsiTheme="majorHAnsi"/>
        </w:rPr>
        <w:t xml:space="preserve">área total de construção, excluindo estacionamento e área técnica, é de </w:t>
      </w:r>
      <w:r w:rsidR="00BF7F84" w:rsidRPr="00CC3CE8">
        <w:rPr>
          <w:rFonts w:asciiTheme="majorHAnsi" w:hAnsiTheme="majorHAnsi"/>
        </w:rPr>
        <w:t xml:space="preserve">5 555 m2 (antes, em 10 Nov 2004, o promotor ‘A Merendeira’ apresentara </w:t>
      </w:r>
      <w:r w:rsidRPr="00CC3CE8">
        <w:rPr>
          <w:rFonts w:asciiTheme="majorHAnsi" w:hAnsiTheme="majorHAnsi"/>
        </w:rPr>
        <w:t>5</w:t>
      </w:r>
      <w:r w:rsidR="006D0783">
        <w:rPr>
          <w:rFonts w:asciiTheme="majorHAnsi" w:hAnsiTheme="majorHAnsi"/>
        </w:rPr>
        <w:t xml:space="preserve"> </w:t>
      </w:r>
      <w:r w:rsidRPr="00CC3CE8">
        <w:rPr>
          <w:rFonts w:asciiTheme="majorHAnsi" w:hAnsiTheme="majorHAnsi"/>
        </w:rPr>
        <w:t>847</w:t>
      </w:r>
      <w:r w:rsidR="0018312D" w:rsidRPr="00CC3CE8">
        <w:rPr>
          <w:rFonts w:asciiTheme="majorHAnsi" w:hAnsiTheme="majorHAnsi"/>
        </w:rPr>
        <w:t>,5</w:t>
      </w:r>
      <w:r w:rsidRPr="00CC3CE8">
        <w:rPr>
          <w:rFonts w:asciiTheme="majorHAnsi" w:hAnsiTheme="majorHAnsi"/>
        </w:rPr>
        <w:t xml:space="preserve"> m2</w:t>
      </w:r>
      <w:r w:rsidR="00BF7F84" w:rsidRPr="00CC3CE8">
        <w:rPr>
          <w:rFonts w:asciiTheme="majorHAnsi" w:hAnsiTheme="majorHAnsi"/>
        </w:rPr>
        <w:t xml:space="preserve"> no </w:t>
      </w:r>
      <w:r w:rsidR="0018312D" w:rsidRPr="00CC3CE8">
        <w:rPr>
          <w:rFonts w:asciiTheme="majorHAnsi" w:hAnsiTheme="majorHAnsi"/>
        </w:rPr>
        <w:t xml:space="preserve">Quadro de Áreas). </w:t>
      </w:r>
    </w:p>
    <w:p w:rsidR="0018312D" w:rsidRPr="00CC3CE8" w:rsidRDefault="009177A5" w:rsidP="00D90FA8">
      <w:pPr>
        <w:rPr>
          <w:rFonts w:asciiTheme="majorHAnsi" w:hAnsiTheme="majorHAnsi"/>
        </w:rPr>
      </w:pPr>
      <w:r w:rsidRPr="00CC3CE8">
        <w:rPr>
          <w:rFonts w:asciiTheme="majorHAnsi" w:hAnsiTheme="majorHAnsi"/>
        </w:rPr>
        <w:t>Apresenta ainda 4 pisos acima da cota da soleira</w:t>
      </w:r>
      <w:r w:rsidR="0018312D" w:rsidRPr="00CC3CE8">
        <w:rPr>
          <w:rFonts w:asciiTheme="majorHAnsi" w:hAnsiTheme="majorHAnsi"/>
        </w:rPr>
        <w:t>.</w:t>
      </w:r>
    </w:p>
    <w:p w:rsidR="006D0783" w:rsidRDefault="006D0783" w:rsidP="00D90FA8">
      <w:pPr>
        <w:rPr>
          <w:rFonts w:asciiTheme="majorHAnsi" w:hAnsiTheme="majorHAnsi"/>
        </w:rPr>
      </w:pPr>
    </w:p>
    <w:p w:rsidR="0018312D" w:rsidRPr="00CC3CE8" w:rsidRDefault="00C47DE6" w:rsidP="00D90FA8">
      <w:pPr>
        <w:rPr>
          <w:rFonts w:asciiTheme="majorHAnsi" w:hAnsiTheme="majorHAnsi"/>
        </w:rPr>
      </w:pPr>
      <w:r w:rsidRPr="00CC3CE8">
        <w:rPr>
          <w:rFonts w:asciiTheme="majorHAnsi" w:hAnsiTheme="majorHAnsi"/>
        </w:rPr>
        <w:t xml:space="preserve">Pode-se então </w:t>
      </w:r>
      <w:r w:rsidR="006D0783">
        <w:rPr>
          <w:rFonts w:asciiTheme="majorHAnsi" w:hAnsiTheme="majorHAnsi"/>
        </w:rPr>
        <w:t xml:space="preserve">perguntar se aqui não se aplica </w:t>
      </w:r>
      <w:r w:rsidR="006555E4" w:rsidRPr="00CC3CE8">
        <w:rPr>
          <w:rFonts w:asciiTheme="majorHAnsi" w:hAnsiTheme="majorHAnsi"/>
        </w:rPr>
        <w:t xml:space="preserve">o </w:t>
      </w:r>
      <w:r w:rsidR="0018312D" w:rsidRPr="00CC3CE8">
        <w:rPr>
          <w:rFonts w:asciiTheme="majorHAnsi" w:hAnsiTheme="majorHAnsi"/>
        </w:rPr>
        <w:t xml:space="preserve">Regime Jurídico de Urbanização e Edificação </w:t>
      </w:r>
      <w:r w:rsidR="006D0783">
        <w:rPr>
          <w:rFonts w:asciiTheme="majorHAnsi" w:hAnsiTheme="majorHAnsi"/>
        </w:rPr>
        <w:t xml:space="preserve">que </w:t>
      </w:r>
      <w:r w:rsidR="0018312D" w:rsidRPr="00CC3CE8">
        <w:rPr>
          <w:rFonts w:asciiTheme="majorHAnsi" w:hAnsiTheme="majorHAnsi"/>
        </w:rPr>
        <w:t>refere no art</w:t>
      </w:r>
      <w:r w:rsidRPr="00CC3CE8">
        <w:rPr>
          <w:rFonts w:asciiTheme="majorHAnsi" w:hAnsiTheme="majorHAnsi"/>
        </w:rPr>
        <w:t>.</w:t>
      </w:r>
      <w:r w:rsidR="0018312D" w:rsidRPr="00CC3CE8">
        <w:rPr>
          <w:rFonts w:asciiTheme="majorHAnsi" w:hAnsiTheme="majorHAnsi"/>
        </w:rPr>
        <w:t xml:space="preserve"> 68</w:t>
      </w:r>
      <w:r w:rsidRPr="00CC3CE8">
        <w:rPr>
          <w:rFonts w:asciiTheme="majorHAnsi" w:hAnsiTheme="majorHAnsi"/>
        </w:rPr>
        <w:t>º a)</w:t>
      </w:r>
      <w:r w:rsidR="0018312D" w:rsidRPr="00CC3CE8">
        <w:rPr>
          <w:rFonts w:asciiTheme="majorHAnsi" w:hAnsiTheme="majorHAnsi"/>
        </w:rPr>
        <w:t>:</w:t>
      </w:r>
    </w:p>
    <w:p w:rsidR="00C47DE6" w:rsidRPr="006D0783" w:rsidRDefault="0018312D" w:rsidP="003135C0">
      <w:pPr>
        <w:ind w:left="708"/>
        <w:rPr>
          <w:rFonts w:asciiTheme="majorHAnsi" w:hAnsiTheme="majorHAnsi"/>
          <w:i/>
        </w:rPr>
      </w:pPr>
      <w:r w:rsidRPr="006D0783">
        <w:rPr>
          <w:rFonts w:asciiTheme="majorHAnsi" w:hAnsiTheme="majorHAnsi"/>
          <w:i/>
        </w:rPr>
        <w:t xml:space="preserve">Artigo 68.º [...] São nulas as licenças, as admissões de comunicações prévias, as autorizações de utilização e os pedidos de informação prévia previstos no presente decreto -lei que: </w:t>
      </w:r>
    </w:p>
    <w:p w:rsidR="009177A5" w:rsidRDefault="0018312D" w:rsidP="00C47DE6">
      <w:pPr>
        <w:pStyle w:val="PargrafodaLista"/>
        <w:numPr>
          <w:ilvl w:val="0"/>
          <w:numId w:val="3"/>
        </w:numPr>
        <w:rPr>
          <w:rFonts w:asciiTheme="majorHAnsi" w:hAnsiTheme="majorHAnsi"/>
          <w:i/>
        </w:rPr>
      </w:pPr>
      <w:r w:rsidRPr="006D0783">
        <w:rPr>
          <w:rFonts w:asciiTheme="majorHAnsi" w:hAnsiTheme="majorHAnsi"/>
          <w:i/>
        </w:rPr>
        <w:t xml:space="preserve">Violem o disposto em plano municipal de ordenamento do território, plano especial de ordenamento do território, medidas preventivas ou licença ou comunicação prévia de loteamento em vigor; </w:t>
      </w:r>
    </w:p>
    <w:p w:rsidR="006D0783" w:rsidRPr="006D0783" w:rsidRDefault="006D0783" w:rsidP="00C47DE6">
      <w:pPr>
        <w:pStyle w:val="PargrafodaLista"/>
        <w:numPr>
          <w:ilvl w:val="0"/>
          <w:numId w:val="3"/>
        </w:numPr>
        <w:rPr>
          <w:rFonts w:asciiTheme="majorHAnsi" w:hAnsiTheme="majorHAnsi"/>
          <w:i/>
        </w:rPr>
      </w:pPr>
      <w:r>
        <w:rPr>
          <w:rFonts w:asciiTheme="majorHAnsi" w:hAnsiTheme="majorHAnsi"/>
          <w:i/>
        </w:rPr>
        <w:t>(…)</w:t>
      </w:r>
    </w:p>
    <w:p w:rsidR="006D0783" w:rsidRDefault="006D0783" w:rsidP="0036073E">
      <w:pPr>
        <w:rPr>
          <w:rFonts w:asciiTheme="majorHAnsi" w:hAnsiTheme="majorHAnsi"/>
        </w:rPr>
      </w:pPr>
    </w:p>
    <w:p w:rsidR="0036073E" w:rsidRDefault="0036073E" w:rsidP="0036073E">
      <w:pPr>
        <w:rPr>
          <w:rFonts w:asciiTheme="majorHAnsi" w:hAnsiTheme="majorHAnsi"/>
        </w:rPr>
      </w:pPr>
      <w:r w:rsidRPr="0036073E">
        <w:rPr>
          <w:noProof/>
          <w:lang w:eastAsia="pt-PT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1080770</wp:posOffset>
            </wp:positionH>
            <wp:positionV relativeFrom="paragraph">
              <wp:posOffset>645160</wp:posOffset>
            </wp:positionV>
            <wp:extent cx="4614545" cy="1119505"/>
            <wp:effectExtent l="0" t="0" r="0" b="4445"/>
            <wp:wrapThrough wrapText="bothSides">
              <wp:wrapPolygon edited="0">
                <wp:start x="0" y="0"/>
                <wp:lineTo x="0" y="21318"/>
                <wp:lineTo x="21490" y="21318"/>
                <wp:lineTo x="21490" y="0"/>
                <wp:lineTo x="0" y="0"/>
              </wp:wrapPolygon>
            </wp:wrapThrough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4545" cy="1119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Theme="majorHAnsi" w:hAnsiTheme="majorHAnsi"/>
        </w:rPr>
        <w:t xml:space="preserve">No capítulo Generalidades, o </w:t>
      </w:r>
      <w:r w:rsidR="00DB5A62">
        <w:rPr>
          <w:rFonts w:asciiTheme="majorHAnsi" w:hAnsiTheme="majorHAnsi"/>
        </w:rPr>
        <w:t xml:space="preserve">Regulamento do </w:t>
      </w:r>
      <w:r>
        <w:rPr>
          <w:rFonts w:asciiTheme="majorHAnsi" w:hAnsiTheme="majorHAnsi"/>
        </w:rPr>
        <w:t xml:space="preserve">Plano de Urbanização prevê </w:t>
      </w:r>
      <w:r w:rsidR="00C63501">
        <w:rPr>
          <w:rFonts w:asciiTheme="majorHAnsi" w:hAnsiTheme="majorHAnsi"/>
        </w:rPr>
        <w:t xml:space="preserve">situações </w:t>
      </w:r>
      <w:r>
        <w:rPr>
          <w:rFonts w:asciiTheme="majorHAnsi" w:hAnsiTheme="majorHAnsi"/>
        </w:rPr>
        <w:t>em que os índices de ocupação podem ser maiores</w:t>
      </w:r>
      <w:r w:rsidR="00DB5A62">
        <w:rPr>
          <w:rFonts w:asciiTheme="majorHAnsi" w:hAnsiTheme="majorHAnsi"/>
        </w:rPr>
        <w:t>. N</w:t>
      </w:r>
      <w:r>
        <w:rPr>
          <w:rFonts w:asciiTheme="majorHAnsi" w:hAnsiTheme="majorHAnsi"/>
        </w:rPr>
        <w:t>ão referindo</w:t>
      </w:r>
      <w:r w:rsidR="00DB5A62">
        <w:rPr>
          <w:rFonts w:asciiTheme="majorHAnsi" w:hAnsiTheme="majorHAnsi"/>
        </w:rPr>
        <w:t xml:space="preserve"> </w:t>
      </w:r>
      <w:r>
        <w:rPr>
          <w:rFonts w:asciiTheme="majorHAnsi" w:hAnsiTheme="majorHAnsi"/>
        </w:rPr>
        <w:t>que nessas excepções se inclui a construção de hotéis</w:t>
      </w:r>
      <w:r w:rsidR="00DB5A62">
        <w:rPr>
          <w:rFonts w:asciiTheme="majorHAnsi" w:hAnsiTheme="majorHAnsi"/>
        </w:rPr>
        <w:t>, h</w:t>
      </w:r>
      <w:r>
        <w:rPr>
          <w:rFonts w:asciiTheme="majorHAnsi" w:hAnsiTheme="majorHAnsi"/>
        </w:rPr>
        <w:t>á, porém um ‘etc.’ que poderia ser invocado para essa inclusão.</w:t>
      </w:r>
    </w:p>
    <w:p w:rsidR="00C47DE6" w:rsidRDefault="00C47DE6" w:rsidP="0036073E">
      <w:pPr>
        <w:rPr>
          <w:rFonts w:asciiTheme="majorHAnsi" w:hAnsiTheme="majorHAnsi"/>
        </w:rPr>
      </w:pPr>
    </w:p>
    <w:p w:rsidR="0036073E" w:rsidRDefault="0036073E" w:rsidP="0036073E">
      <w:pPr>
        <w:rPr>
          <w:rFonts w:asciiTheme="majorHAnsi" w:hAnsiTheme="majorHAnsi"/>
        </w:rPr>
      </w:pPr>
    </w:p>
    <w:p w:rsidR="0036073E" w:rsidRDefault="0036073E" w:rsidP="0036073E">
      <w:pPr>
        <w:rPr>
          <w:rFonts w:asciiTheme="majorHAnsi" w:hAnsiTheme="majorHAnsi"/>
        </w:rPr>
      </w:pPr>
    </w:p>
    <w:p w:rsidR="00DB5A62" w:rsidRDefault="00DB5A62" w:rsidP="0036073E">
      <w:pPr>
        <w:rPr>
          <w:rFonts w:asciiTheme="majorHAnsi" w:hAnsiTheme="majorHAnsi"/>
        </w:rPr>
      </w:pPr>
    </w:p>
    <w:p w:rsidR="00C63501" w:rsidRDefault="00C63501" w:rsidP="0036073E"/>
    <w:p w:rsidR="00DB5A62" w:rsidRDefault="00DB5A62" w:rsidP="0036073E">
      <w:r>
        <w:t xml:space="preserve">No entanto, a Memória Explicativa do mesmo Plano de Urbanização </w:t>
      </w:r>
      <w:r w:rsidR="00C63501">
        <w:t xml:space="preserve">vem </w:t>
      </w:r>
      <w:r>
        <w:t>clarifica</w:t>
      </w:r>
      <w:r w:rsidR="00C63501">
        <w:t>r</w:t>
      </w:r>
      <w:r>
        <w:t xml:space="preserve"> que as regras de ocupação do terreno definidas para as várias zonas são sempre aplicáveis à construção de hotéis.</w:t>
      </w:r>
    </w:p>
    <w:p w:rsidR="00DB5A62" w:rsidRDefault="00DB5A62" w:rsidP="0036073E">
      <w:r>
        <w:t>No cap</w:t>
      </w:r>
      <w:r w:rsidR="00C63501">
        <w:t>í</w:t>
      </w:r>
      <w:r>
        <w:t xml:space="preserve">tulo </w:t>
      </w:r>
      <w:r>
        <w:t xml:space="preserve">VIII – </w:t>
      </w:r>
      <w:r w:rsidR="00C63501" w:rsidRPr="00C63501">
        <w:rPr>
          <w:i/>
        </w:rPr>
        <w:t>Previsões em vista de melhorar e de multiplicar as instalações de interesse público e de aumentar as possibilidades de alojamento da população flutuante</w:t>
      </w:r>
      <w:r>
        <w:t xml:space="preserve"> </w:t>
      </w:r>
      <w:r>
        <w:t>– explicita</w:t>
      </w:r>
      <w:r w:rsidR="00C63501">
        <w:t>m</w:t>
      </w:r>
      <w:r>
        <w:t>-se o</w:t>
      </w:r>
      <w:r w:rsidR="00C63501">
        <w:t>s</w:t>
      </w:r>
      <w:r>
        <w:t xml:space="preserve"> seguinte</w:t>
      </w:r>
      <w:r w:rsidR="00C63501">
        <w:t>s pontos, com destaque para os pontos 5 e 6</w:t>
      </w:r>
      <w:r>
        <w:t xml:space="preserve"> </w:t>
      </w:r>
      <w:r w:rsidR="00C63501">
        <w:t xml:space="preserve">que tratam exactamente da implantação de novos hotéis e dos índices de ocupação </w:t>
      </w:r>
      <w:r>
        <w:t>(págs 32 e 33</w:t>
      </w:r>
      <w:r w:rsidR="006D0783">
        <w:t xml:space="preserve"> da Memória Explicativa</w:t>
      </w:r>
      <w:r>
        <w:t>):</w:t>
      </w:r>
    </w:p>
    <w:p w:rsidR="00DB5A62" w:rsidRPr="00C63501" w:rsidRDefault="0036073E" w:rsidP="00DB5A62">
      <w:pPr>
        <w:ind w:left="360"/>
        <w:rPr>
          <w:i/>
        </w:rPr>
      </w:pPr>
      <w:r w:rsidRPr="00C63501">
        <w:rPr>
          <w:i/>
        </w:rPr>
        <w:t>Quanto aos hotéis e pensões (cujo n</w:t>
      </w:r>
      <w:r w:rsidR="00C63501" w:rsidRPr="00C63501">
        <w:rPr>
          <w:i/>
        </w:rPr>
        <w:t>ú</w:t>
      </w:r>
      <w:r w:rsidRPr="00C63501">
        <w:rPr>
          <w:i/>
        </w:rPr>
        <w:t xml:space="preserve">mero é necessário aumentar em Sintra) eis as bases que deveriam ser adoptadas para a sua criação: </w:t>
      </w:r>
    </w:p>
    <w:p w:rsidR="00DB5A62" w:rsidRPr="00C63501" w:rsidRDefault="0036073E" w:rsidP="00DB5A62">
      <w:pPr>
        <w:ind w:left="360"/>
        <w:rPr>
          <w:i/>
        </w:rPr>
      </w:pPr>
      <w:r w:rsidRPr="00C63501">
        <w:rPr>
          <w:i/>
        </w:rPr>
        <w:t xml:space="preserve">1. Eles devem, em princípio, ser situados na proximidade da Antiga Vila e das suas matas nacionais, ou na própria Antiga Vila. </w:t>
      </w:r>
      <w:r w:rsidR="00DB5A62" w:rsidRPr="00C63501">
        <w:rPr>
          <w:i/>
        </w:rPr>
        <w:t>(…)</w:t>
      </w:r>
    </w:p>
    <w:p w:rsidR="00DB5A62" w:rsidRPr="00C63501" w:rsidRDefault="0036073E" w:rsidP="00DB5A62">
      <w:pPr>
        <w:ind w:left="360"/>
        <w:rPr>
          <w:i/>
        </w:rPr>
      </w:pPr>
      <w:r w:rsidRPr="00C63501">
        <w:rPr>
          <w:i/>
        </w:rPr>
        <w:lastRenderedPageBreak/>
        <w:t xml:space="preserve">2. Os hotéis devem ser construídos em terrenos vastos, com bonitas vistas panorâmicas e bem arborizados (excepção feita para os hotéis que foram instalados na Antiga Vila). </w:t>
      </w:r>
    </w:p>
    <w:p w:rsidR="00DB5A62" w:rsidRPr="00C63501" w:rsidRDefault="0036073E" w:rsidP="00DB5A62">
      <w:pPr>
        <w:ind w:left="360"/>
        <w:rPr>
          <w:i/>
        </w:rPr>
      </w:pPr>
      <w:r w:rsidRPr="00C63501">
        <w:rPr>
          <w:i/>
        </w:rPr>
        <w:t>3. Estas edificações não devem constituir grandes volumes de construção e não devem ser altas. O melhor será limitá-las à altura das outras edificações da zona onde elas se encontrarem. Com efeito, nas terras montanhosas, é a construção baixa que dá o melhor efeito. Em Sintra, sobretudo, é preciso velar para que quaisquer edifícios altos não venham desequilibrar o</w:t>
      </w:r>
      <w:r w:rsidR="00DB5A62" w:rsidRPr="00C63501">
        <w:rPr>
          <w:i/>
        </w:rPr>
        <w:t xml:space="preserve"> conjunto. (…)</w:t>
      </w:r>
    </w:p>
    <w:p w:rsidR="00DB5A62" w:rsidRPr="00C63501" w:rsidRDefault="00DB5A62" w:rsidP="00DB5A62">
      <w:pPr>
        <w:ind w:left="360"/>
        <w:rPr>
          <w:i/>
        </w:rPr>
      </w:pPr>
      <w:r w:rsidRPr="00C63501">
        <w:rPr>
          <w:i/>
        </w:rPr>
        <w:t xml:space="preserve">4. Seria de desejar que a maior parte destes novos estabelecimentos de Sintra fossem hotéis e pensões de preços médios ou mesmo modestos </w:t>
      </w:r>
      <w:r w:rsidR="00C63501" w:rsidRPr="00C63501">
        <w:rPr>
          <w:i/>
        </w:rPr>
        <w:t>(…)</w:t>
      </w:r>
    </w:p>
    <w:p w:rsidR="00DB5A62" w:rsidRPr="00C63501" w:rsidRDefault="00DB5A62" w:rsidP="00DB5A62">
      <w:pPr>
        <w:ind w:left="360"/>
        <w:rPr>
          <w:b/>
          <w:i/>
        </w:rPr>
      </w:pPr>
      <w:r w:rsidRPr="00C63501">
        <w:rPr>
          <w:i/>
        </w:rPr>
        <w:t xml:space="preserve">5. Os novos hotéis e pensões podem ser construídos em todas as zonas de Sintra, salvo nas zonas industriais e nas zonas de habitação operárias, </w:t>
      </w:r>
      <w:r w:rsidRPr="00C63501">
        <w:rPr>
          <w:b/>
          <w:i/>
        </w:rPr>
        <w:t xml:space="preserve">mas a superfície coberta do terreno do hotel e a altura do seu edifício não devem ir além dos respectivos máximos autorizados na zona em que o hotel deve ser situado. </w:t>
      </w:r>
    </w:p>
    <w:p w:rsidR="00DB5A62" w:rsidRPr="00C63501" w:rsidRDefault="00DB5A62" w:rsidP="00DB5A62">
      <w:pPr>
        <w:ind w:left="360"/>
        <w:rPr>
          <w:i/>
        </w:rPr>
      </w:pPr>
      <w:r w:rsidRPr="00C63501">
        <w:rPr>
          <w:i/>
        </w:rPr>
        <w:t xml:space="preserve">6. </w:t>
      </w:r>
      <w:r w:rsidRPr="00C63501">
        <w:rPr>
          <w:b/>
          <w:i/>
        </w:rPr>
        <w:t>O efeito que todo o hotel com mais de 20 quartos produzirá no lugar escolhido para a sua localização, deve ser estudado previamente, no panorama do sítio.</w:t>
      </w:r>
      <w:r w:rsidRPr="00C63501">
        <w:rPr>
          <w:i/>
        </w:rPr>
        <w:t xml:space="preserve"> Em vista disto, o requerente deverá juntar, ao projecto submetido à apreciação da Câmara, um desenho perspectivo exacto deste edifício, colado no lugar preciso, numa fotografia panorâmica deste sítio. </w:t>
      </w:r>
      <w:r w:rsidRPr="00C63501">
        <w:rPr>
          <w:b/>
          <w:i/>
        </w:rPr>
        <w:t xml:space="preserve">A autorização só poderá ser concedida se esta construção não </w:t>
      </w:r>
      <w:r w:rsidRPr="00C63501">
        <w:rPr>
          <w:b/>
          <w:i/>
        </w:rPr>
        <w:t>estragar o efeito de conjunto</w:t>
      </w:r>
      <w:r w:rsidRPr="00C63501">
        <w:rPr>
          <w:i/>
        </w:rPr>
        <w:t>.</w:t>
      </w:r>
      <w:r w:rsidRPr="00C63501">
        <w:rPr>
          <w:i/>
        </w:rPr>
        <w:t xml:space="preserve"> O projecto deverá ser examinado por um júri constituído por representantes da Direcção Geral dos Edifícios e Monumentos Nacionais, da Direcção Geral dos Serviços de Urbanização, da Direcção Geral dos Serviços Florestais e Agrícolas, do Secretariado Nacional de Informação e da Municipalidade de Sintra. </w:t>
      </w:r>
    </w:p>
    <w:p w:rsidR="00C63501" w:rsidRPr="00C63501" w:rsidRDefault="00C63501" w:rsidP="00DB5A62">
      <w:pPr>
        <w:ind w:left="360"/>
        <w:rPr>
          <w:i/>
        </w:rPr>
      </w:pPr>
      <w:r w:rsidRPr="00C63501">
        <w:rPr>
          <w:i/>
        </w:rPr>
        <w:t>(…)</w:t>
      </w:r>
    </w:p>
    <w:p w:rsidR="0036073E" w:rsidRPr="0036073E" w:rsidRDefault="0036073E" w:rsidP="0036073E">
      <w:pPr>
        <w:rPr>
          <w:rFonts w:asciiTheme="majorHAnsi" w:hAnsiTheme="majorHAnsi"/>
        </w:rPr>
      </w:pPr>
    </w:p>
    <w:p w:rsidR="00CF0AB9" w:rsidRPr="00CC3CE8" w:rsidRDefault="00CF0AB9" w:rsidP="00CC3CE8">
      <w:pPr>
        <w:pStyle w:val="PargrafodaLista"/>
        <w:numPr>
          <w:ilvl w:val="0"/>
          <w:numId w:val="6"/>
        </w:numPr>
        <w:rPr>
          <w:rFonts w:asciiTheme="majorHAnsi" w:hAnsiTheme="majorHAnsi"/>
          <w:b/>
        </w:rPr>
      </w:pPr>
      <w:r w:rsidRPr="00CC3CE8">
        <w:rPr>
          <w:rFonts w:asciiTheme="majorHAnsi" w:hAnsiTheme="majorHAnsi"/>
          <w:b/>
        </w:rPr>
        <w:t>E</w:t>
      </w:r>
      <w:r w:rsidR="00C47DE6" w:rsidRPr="00CC3CE8">
        <w:rPr>
          <w:rFonts w:asciiTheme="majorHAnsi" w:hAnsiTheme="majorHAnsi"/>
          <w:b/>
        </w:rPr>
        <w:t>studo</w:t>
      </w:r>
      <w:r w:rsidRPr="00CC3CE8">
        <w:rPr>
          <w:rFonts w:asciiTheme="majorHAnsi" w:hAnsiTheme="majorHAnsi"/>
          <w:b/>
        </w:rPr>
        <w:t>s</w:t>
      </w:r>
      <w:r w:rsidR="00C47DE6" w:rsidRPr="00CC3CE8">
        <w:rPr>
          <w:rFonts w:asciiTheme="majorHAnsi" w:hAnsiTheme="majorHAnsi"/>
          <w:b/>
        </w:rPr>
        <w:t xml:space="preserve"> hidro</w:t>
      </w:r>
      <w:r w:rsidRPr="00CC3CE8">
        <w:rPr>
          <w:rFonts w:asciiTheme="majorHAnsi" w:hAnsiTheme="majorHAnsi"/>
          <w:b/>
        </w:rPr>
        <w:t>geo</w:t>
      </w:r>
      <w:r w:rsidR="00C47DE6" w:rsidRPr="00CC3CE8">
        <w:rPr>
          <w:rFonts w:asciiTheme="majorHAnsi" w:hAnsiTheme="majorHAnsi"/>
          <w:b/>
        </w:rPr>
        <w:t>lógico</w:t>
      </w:r>
      <w:r w:rsidRPr="00CC3CE8">
        <w:rPr>
          <w:rFonts w:asciiTheme="majorHAnsi" w:hAnsiTheme="majorHAnsi"/>
          <w:b/>
        </w:rPr>
        <w:t>s</w:t>
      </w:r>
    </w:p>
    <w:p w:rsidR="006D0783" w:rsidRDefault="00CF0AB9" w:rsidP="00CF0AB9">
      <w:pPr>
        <w:rPr>
          <w:rFonts w:asciiTheme="majorHAnsi" w:hAnsiTheme="majorHAnsi"/>
        </w:rPr>
      </w:pPr>
      <w:r w:rsidRPr="00CC3CE8">
        <w:rPr>
          <w:rFonts w:asciiTheme="majorHAnsi" w:hAnsiTheme="majorHAnsi"/>
        </w:rPr>
        <w:t>A realização destes estudos, além de recomendados pelos técnicos e consultores</w:t>
      </w:r>
      <w:r w:rsidR="006D0783">
        <w:rPr>
          <w:rFonts w:asciiTheme="majorHAnsi" w:hAnsiTheme="majorHAnsi"/>
        </w:rPr>
        <w:t xml:space="preserve"> da Câmara</w:t>
      </w:r>
      <w:r w:rsidRPr="00CC3CE8">
        <w:rPr>
          <w:rFonts w:asciiTheme="majorHAnsi" w:hAnsiTheme="majorHAnsi"/>
        </w:rPr>
        <w:t xml:space="preserve">, é apresentada como condicionante na aprovação por parte do IPPAR em </w:t>
      </w:r>
      <w:r w:rsidR="00D74FBC" w:rsidRPr="00CC3CE8">
        <w:rPr>
          <w:rFonts w:asciiTheme="majorHAnsi" w:hAnsiTheme="majorHAnsi"/>
        </w:rPr>
        <w:t xml:space="preserve">Junho de </w:t>
      </w:r>
      <w:r w:rsidRPr="00CC3CE8">
        <w:rPr>
          <w:rFonts w:asciiTheme="majorHAnsi" w:hAnsiTheme="majorHAnsi"/>
        </w:rPr>
        <w:t xml:space="preserve">2005: </w:t>
      </w:r>
      <w:r w:rsidRPr="006D0783">
        <w:rPr>
          <w:rFonts w:asciiTheme="majorHAnsi" w:hAnsiTheme="majorHAnsi"/>
          <w:b/>
          <w:i/>
        </w:rPr>
        <w:t>“O posterior desenvolvimento da intervenção deverá contemplar a realização dos estudos referidos [estudos hidrogeológicos] em face da sensibilidade e importância paisagística do local</w:t>
      </w:r>
      <w:r w:rsidRPr="00CC3CE8">
        <w:rPr>
          <w:rFonts w:asciiTheme="majorHAnsi" w:hAnsiTheme="majorHAnsi"/>
        </w:rPr>
        <w:t>.”</w:t>
      </w:r>
      <w:r w:rsidR="00CC3CE8">
        <w:rPr>
          <w:rFonts w:asciiTheme="majorHAnsi" w:hAnsiTheme="majorHAnsi"/>
        </w:rPr>
        <w:t xml:space="preserve"> </w:t>
      </w:r>
    </w:p>
    <w:p w:rsidR="00CF0AB9" w:rsidRDefault="00CF0AB9" w:rsidP="00CF0AB9">
      <w:pPr>
        <w:rPr>
          <w:rFonts w:asciiTheme="majorHAnsi" w:hAnsiTheme="majorHAnsi"/>
        </w:rPr>
      </w:pPr>
      <w:r w:rsidRPr="00CC3CE8">
        <w:rPr>
          <w:rFonts w:asciiTheme="majorHAnsi" w:hAnsiTheme="majorHAnsi"/>
        </w:rPr>
        <w:t xml:space="preserve">Não </w:t>
      </w:r>
      <w:r w:rsidR="006D0783">
        <w:rPr>
          <w:rFonts w:asciiTheme="majorHAnsi" w:hAnsiTheme="majorHAnsi"/>
        </w:rPr>
        <w:t xml:space="preserve">terá assim </w:t>
      </w:r>
      <w:r w:rsidRPr="00CC3CE8">
        <w:rPr>
          <w:rFonts w:asciiTheme="majorHAnsi" w:hAnsiTheme="majorHAnsi"/>
        </w:rPr>
        <w:t>exist</w:t>
      </w:r>
      <w:r w:rsidR="006D0783">
        <w:rPr>
          <w:rFonts w:asciiTheme="majorHAnsi" w:hAnsiTheme="majorHAnsi"/>
        </w:rPr>
        <w:t>ido</w:t>
      </w:r>
      <w:r w:rsidRPr="00CC3CE8">
        <w:rPr>
          <w:rFonts w:asciiTheme="majorHAnsi" w:hAnsiTheme="majorHAnsi"/>
        </w:rPr>
        <w:t xml:space="preserve"> uma “aprovação conclusiva” por parte do IPPAR, necessidade invocada </w:t>
      </w:r>
      <w:r w:rsidR="00D74FBC" w:rsidRPr="00CC3CE8">
        <w:rPr>
          <w:rFonts w:asciiTheme="majorHAnsi" w:hAnsiTheme="majorHAnsi"/>
        </w:rPr>
        <w:t xml:space="preserve">um mês depois </w:t>
      </w:r>
      <w:r w:rsidRPr="00CC3CE8">
        <w:rPr>
          <w:rFonts w:asciiTheme="majorHAnsi" w:hAnsiTheme="majorHAnsi"/>
        </w:rPr>
        <w:t>pelo Departamento de Urbanismo</w:t>
      </w:r>
      <w:r w:rsidR="006D0783">
        <w:rPr>
          <w:rFonts w:asciiTheme="majorHAnsi" w:hAnsiTheme="majorHAnsi"/>
        </w:rPr>
        <w:t>.</w:t>
      </w:r>
    </w:p>
    <w:p w:rsidR="006D0783" w:rsidRPr="00CC3CE8" w:rsidRDefault="006D0783" w:rsidP="00CF0AB9">
      <w:pPr>
        <w:rPr>
          <w:rFonts w:asciiTheme="majorHAnsi" w:hAnsiTheme="majorHAnsi"/>
        </w:rPr>
      </w:pPr>
    </w:p>
    <w:p w:rsidR="00C47DE6" w:rsidRPr="00CC3CE8" w:rsidRDefault="00BF7F84" w:rsidP="00CC3CE8">
      <w:pPr>
        <w:pStyle w:val="PargrafodaLista"/>
        <w:numPr>
          <w:ilvl w:val="0"/>
          <w:numId w:val="6"/>
        </w:numPr>
        <w:rPr>
          <w:rFonts w:asciiTheme="majorHAnsi" w:hAnsiTheme="majorHAnsi"/>
          <w:b/>
        </w:rPr>
      </w:pPr>
      <w:r w:rsidRPr="00CC3CE8">
        <w:rPr>
          <w:rFonts w:asciiTheme="majorHAnsi" w:hAnsiTheme="majorHAnsi"/>
          <w:b/>
        </w:rPr>
        <w:t>E</w:t>
      </w:r>
      <w:r w:rsidR="00C47DE6" w:rsidRPr="00CC3CE8">
        <w:rPr>
          <w:rFonts w:asciiTheme="majorHAnsi" w:hAnsiTheme="majorHAnsi"/>
          <w:b/>
        </w:rPr>
        <w:t>studo de Trânsito</w:t>
      </w:r>
    </w:p>
    <w:p w:rsidR="006D0783" w:rsidRDefault="00CC3CE8">
      <w:pPr>
        <w:rPr>
          <w:rFonts w:asciiTheme="majorHAnsi" w:hAnsiTheme="majorHAnsi"/>
        </w:rPr>
      </w:pPr>
      <w:r>
        <w:rPr>
          <w:rFonts w:asciiTheme="majorHAnsi" w:hAnsiTheme="majorHAnsi"/>
        </w:rPr>
        <w:t>Ao contrário do que o</w:t>
      </w:r>
      <w:r w:rsidR="00D74FBC" w:rsidRPr="00CC3CE8">
        <w:rPr>
          <w:rFonts w:asciiTheme="majorHAnsi" w:hAnsiTheme="majorHAnsi"/>
        </w:rPr>
        <w:t xml:space="preserve"> técnico do Departamento de Urbanismo que analisa o projecto </w:t>
      </w:r>
      <w:r>
        <w:rPr>
          <w:rFonts w:asciiTheme="majorHAnsi" w:hAnsiTheme="majorHAnsi"/>
        </w:rPr>
        <w:t xml:space="preserve">preconiza, </w:t>
      </w:r>
      <w:r w:rsidR="00527D86" w:rsidRPr="00CC3CE8">
        <w:rPr>
          <w:rFonts w:asciiTheme="majorHAnsi" w:hAnsiTheme="majorHAnsi"/>
        </w:rPr>
        <w:t xml:space="preserve">o executivo municipal </w:t>
      </w:r>
      <w:r>
        <w:rPr>
          <w:rFonts w:asciiTheme="majorHAnsi" w:hAnsiTheme="majorHAnsi"/>
        </w:rPr>
        <w:t>não apreciou</w:t>
      </w:r>
      <w:r w:rsidR="006D0783">
        <w:rPr>
          <w:rFonts w:asciiTheme="majorHAnsi" w:hAnsiTheme="majorHAnsi"/>
        </w:rPr>
        <w:t xml:space="preserve"> qualquer</w:t>
      </w:r>
      <w:r>
        <w:rPr>
          <w:rFonts w:asciiTheme="majorHAnsi" w:hAnsiTheme="majorHAnsi"/>
        </w:rPr>
        <w:t xml:space="preserve"> </w:t>
      </w:r>
      <w:r w:rsidR="00527D86" w:rsidRPr="00CC3CE8">
        <w:rPr>
          <w:rFonts w:asciiTheme="majorHAnsi" w:hAnsiTheme="majorHAnsi"/>
          <w:u w:val="single"/>
        </w:rPr>
        <w:t>proposta</w:t>
      </w:r>
      <w:r w:rsidR="009C674C" w:rsidRPr="00CC3CE8">
        <w:rPr>
          <w:rFonts w:asciiTheme="majorHAnsi" w:hAnsiTheme="majorHAnsi"/>
          <w:u w:val="single"/>
        </w:rPr>
        <w:t xml:space="preserve"> sobre questões de circulação e estacionamento,</w:t>
      </w:r>
      <w:r w:rsidR="00527D86" w:rsidRPr="00CC3CE8">
        <w:rPr>
          <w:rFonts w:asciiTheme="majorHAnsi" w:hAnsiTheme="majorHAnsi"/>
          <w:u w:val="single"/>
        </w:rPr>
        <w:t xml:space="preserve"> a formular pela Divisão de Trânsito</w:t>
      </w:r>
      <w:r w:rsidR="009C674C" w:rsidRPr="00CC3CE8">
        <w:rPr>
          <w:rFonts w:asciiTheme="majorHAnsi" w:hAnsiTheme="majorHAnsi"/>
          <w:u w:val="single"/>
        </w:rPr>
        <w:t>, antes de qualquer decisão final quanto ao projecto</w:t>
      </w:r>
      <w:r w:rsidR="009C674C" w:rsidRPr="00CC3CE8">
        <w:rPr>
          <w:rFonts w:asciiTheme="majorHAnsi" w:hAnsiTheme="majorHAnsi"/>
        </w:rPr>
        <w:t>.</w:t>
      </w:r>
    </w:p>
    <w:p w:rsidR="006D0783" w:rsidRDefault="006D0783">
      <w:pPr>
        <w:rPr>
          <w:rFonts w:asciiTheme="majorHAnsi" w:hAnsiTheme="majorHAnsi"/>
        </w:rPr>
      </w:pPr>
    </w:p>
    <w:p w:rsidR="006D0783" w:rsidRDefault="006D0783">
      <w:pPr>
        <w:rPr>
          <w:rFonts w:asciiTheme="majorHAnsi" w:hAnsiTheme="majorHAnsi"/>
        </w:rPr>
      </w:pPr>
    </w:p>
    <w:p w:rsidR="006D0783" w:rsidRPr="00CC3CE8" w:rsidRDefault="006D0783">
      <w:pPr>
        <w:rPr>
          <w:rFonts w:asciiTheme="majorHAnsi" w:hAnsiTheme="majorHAnsi"/>
        </w:rPr>
      </w:pPr>
    </w:p>
    <w:p w:rsidR="003C5090" w:rsidRPr="00CC3CE8" w:rsidRDefault="00036D9F" w:rsidP="00CC3CE8">
      <w:pPr>
        <w:pStyle w:val="PargrafodaLista"/>
        <w:numPr>
          <w:ilvl w:val="0"/>
          <w:numId w:val="6"/>
        </w:numPr>
        <w:rPr>
          <w:rFonts w:asciiTheme="majorHAnsi" w:hAnsiTheme="majorHAnsi"/>
          <w:b/>
        </w:rPr>
      </w:pPr>
      <w:r w:rsidRPr="00CC3CE8">
        <w:rPr>
          <w:rFonts w:asciiTheme="majorHAnsi" w:hAnsiTheme="majorHAnsi"/>
          <w:b/>
        </w:rPr>
        <w:lastRenderedPageBreak/>
        <w:t>Consulta pública</w:t>
      </w:r>
    </w:p>
    <w:p w:rsidR="008B2CB4" w:rsidRDefault="00036D9F" w:rsidP="00036D9F">
      <w:pPr>
        <w:rPr>
          <w:rFonts w:asciiTheme="majorHAnsi" w:hAnsiTheme="majorHAnsi"/>
        </w:rPr>
      </w:pPr>
      <w:r w:rsidRPr="00CC3CE8">
        <w:rPr>
          <w:rFonts w:asciiTheme="majorHAnsi" w:hAnsiTheme="majorHAnsi"/>
        </w:rPr>
        <w:t>O projecto não foi submetido a consulta pública</w:t>
      </w:r>
      <w:r w:rsidR="008B2CB4">
        <w:rPr>
          <w:rFonts w:asciiTheme="majorHAnsi" w:hAnsiTheme="majorHAnsi"/>
        </w:rPr>
        <w:t>.</w:t>
      </w:r>
    </w:p>
    <w:p w:rsidR="00036D9F" w:rsidRPr="00CC3CE8" w:rsidRDefault="00036D9F" w:rsidP="00036D9F">
      <w:pPr>
        <w:rPr>
          <w:rFonts w:asciiTheme="majorHAnsi" w:hAnsiTheme="majorHAnsi"/>
        </w:rPr>
      </w:pPr>
      <w:r w:rsidRPr="00CC3CE8">
        <w:rPr>
          <w:rFonts w:asciiTheme="majorHAnsi" w:hAnsiTheme="majorHAnsi"/>
        </w:rPr>
        <w:t xml:space="preserve">O Regulamento Municipal de Urbanização e Edificação do Concelho de Sintra </w:t>
      </w:r>
      <w:r w:rsidR="008B2CB4">
        <w:rPr>
          <w:rFonts w:asciiTheme="majorHAnsi" w:hAnsiTheme="majorHAnsi"/>
        </w:rPr>
        <w:t>estipula o seguinte</w:t>
      </w:r>
      <w:r w:rsidRPr="00CC3CE8">
        <w:rPr>
          <w:rFonts w:asciiTheme="majorHAnsi" w:hAnsiTheme="majorHAnsi"/>
        </w:rPr>
        <w:t xml:space="preserve">: </w:t>
      </w:r>
    </w:p>
    <w:p w:rsidR="00036D9F" w:rsidRPr="006D0783" w:rsidRDefault="00036D9F" w:rsidP="00CC3CE8">
      <w:pPr>
        <w:spacing w:after="120"/>
        <w:ind w:left="709"/>
        <w:rPr>
          <w:rFonts w:asciiTheme="majorHAnsi" w:hAnsiTheme="majorHAnsi"/>
          <w:i/>
          <w:sz w:val="20"/>
        </w:rPr>
      </w:pPr>
      <w:r w:rsidRPr="006D0783">
        <w:rPr>
          <w:rFonts w:asciiTheme="majorHAnsi" w:hAnsiTheme="majorHAnsi"/>
          <w:i/>
          <w:sz w:val="20"/>
        </w:rPr>
        <w:t xml:space="preserve">Secção II </w:t>
      </w:r>
      <w:r w:rsidR="006D0783">
        <w:rPr>
          <w:rFonts w:asciiTheme="majorHAnsi" w:hAnsiTheme="majorHAnsi"/>
          <w:i/>
          <w:sz w:val="20"/>
        </w:rPr>
        <w:t>– Situações Especiais Artigo 73º</w:t>
      </w:r>
      <w:r w:rsidR="00CC3CE8" w:rsidRPr="006D0783">
        <w:rPr>
          <w:rFonts w:asciiTheme="majorHAnsi" w:hAnsiTheme="majorHAnsi"/>
          <w:i/>
          <w:sz w:val="20"/>
        </w:rPr>
        <w:t xml:space="preserve"> -</w:t>
      </w:r>
      <w:r w:rsidR="006D0783">
        <w:rPr>
          <w:rFonts w:asciiTheme="majorHAnsi" w:hAnsiTheme="majorHAnsi"/>
          <w:i/>
          <w:sz w:val="20"/>
        </w:rPr>
        <w:t xml:space="preserve"> </w:t>
      </w:r>
      <w:r w:rsidRPr="006D0783">
        <w:rPr>
          <w:rFonts w:asciiTheme="majorHAnsi" w:hAnsiTheme="majorHAnsi"/>
          <w:i/>
          <w:sz w:val="20"/>
        </w:rPr>
        <w:t xml:space="preserve">Consulta pública </w:t>
      </w:r>
    </w:p>
    <w:p w:rsidR="00036D9F" w:rsidRPr="006D0783" w:rsidRDefault="00036D9F" w:rsidP="00CC3CE8">
      <w:pPr>
        <w:spacing w:after="120"/>
        <w:ind w:left="709"/>
        <w:rPr>
          <w:rFonts w:asciiTheme="majorHAnsi" w:hAnsiTheme="majorHAnsi"/>
          <w:b/>
          <w:i/>
          <w:sz w:val="20"/>
        </w:rPr>
      </w:pPr>
      <w:r w:rsidRPr="006D0783">
        <w:rPr>
          <w:rFonts w:asciiTheme="majorHAnsi" w:hAnsiTheme="majorHAnsi"/>
          <w:i/>
          <w:sz w:val="20"/>
        </w:rPr>
        <w:t xml:space="preserve">1 A aprovação ou admissão, pela Câmara Municipal, das operações de loteamento e operações urbanísticas, consideradas com significativa relevância urbanística, nos termos do presente Regulamento, </w:t>
      </w:r>
      <w:r w:rsidRPr="006D0783">
        <w:rPr>
          <w:rFonts w:asciiTheme="majorHAnsi" w:hAnsiTheme="majorHAnsi"/>
          <w:b/>
          <w:i/>
          <w:sz w:val="20"/>
        </w:rPr>
        <w:t xml:space="preserve">é precedida de um período de consulta pública, qualquer que seja o uso predominante previsto para as construções a edificar, sempre que se verifique uma das seguintes condições: </w:t>
      </w:r>
    </w:p>
    <w:p w:rsidR="00036D9F" w:rsidRPr="006D0783" w:rsidRDefault="00036D9F" w:rsidP="00CC3CE8">
      <w:pPr>
        <w:spacing w:after="120"/>
        <w:ind w:left="709"/>
        <w:rPr>
          <w:rFonts w:asciiTheme="majorHAnsi" w:hAnsiTheme="majorHAnsi"/>
          <w:b/>
          <w:i/>
          <w:sz w:val="20"/>
        </w:rPr>
      </w:pPr>
      <w:r w:rsidRPr="006D0783">
        <w:rPr>
          <w:rFonts w:asciiTheme="majorHAnsi" w:hAnsiTheme="majorHAnsi"/>
          <w:b/>
          <w:i/>
          <w:sz w:val="20"/>
        </w:rPr>
        <w:t xml:space="preserve">a) Dimensão superior a 4 hectares; </w:t>
      </w:r>
    </w:p>
    <w:p w:rsidR="00036D9F" w:rsidRPr="006D0783" w:rsidRDefault="00036D9F" w:rsidP="00CC3CE8">
      <w:pPr>
        <w:spacing w:after="120"/>
        <w:ind w:left="709"/>
        <w:rPr>
          <w:rFonts w:asciiTheme="majorHAnsi" w:hAnsiTheme="majorHAnsi"/>
          <w:i/>
          <w:sz w:val="20"/>
        </w:rPr>
      </w:pPr>
      <w:r w:rsidRPr="006D0783">
        <w:rPr>
          <w:rFonts w:asciiTheme="majorHAnsi" w:hAnsiTheme="majorHAnsi"/>
          <w:i/>
          <w:sz w:val="20"/>
        </w:rPr>
        <w:t xml:space="preserve">b) O número de fogos resultantes da operação seja superior a 100, quando estiver em causa uma operação urbanística para fins exclusivamente habitacionais; </w:t>
      </w:r>
    </w:p>
    <w:p w:rsidR="00036D9F" w:rsidRPr="006D0783" w:rsidRDefault="00036D9F" w:rsidP="00CC3CE8">
      <w:pPr>
        <w:spacing w:after="120"/>
        <w:ind w:left="709"/>
        <w:rPr>
          <w:rFonts w:asciiTheme="majorHAnsi" w:hAnsiTheme="majorHAnsi"/>
          <w:i/>
          <w:sz w:val="20"/>
        </w:rPr>
      </w:pPr>
      <w:r w:rsidRPr="006D0783">
        <w:rPr>
          <w:rFonts w:asciiTheme="majorHAnsi" w:hAnsiTheme="majorHAnsi"/>
          <w:i/>
          <w:sz w:val="20"/>
        </w:rPr>
        <w:t xml:space="preserve">c) Número de habitantes superior a 10% da população do aglomerado urbano em que se insere a pretensão, tendo por referência os dados oficiais do último censo geral da população. </w:t>
      </w:r>
    </w:p>
    <w:p w:rsidR="00036D9F" w:rsidRPr="006D0783" w:rsidRDefault="00036D9F" w:rsidP="00CC3CE8">
      <w:pPr>
        <w:spacing w:after="120"/>
        <w:ind w:left="709"/>
        <w:rPr>
          <w:rFonts w:asciiTheme="majorHAnsi" w:hAnsiTheme="majorHAnsi"/>
          <w:i/>
          <w:sz w:val="20"/>
        </w:rPr>
      </w:pPr>
      <w:r w:rsidRPr="006D0783">
        <w:rPr>
          <w:rFonts w:asciiTheme="majorHAnsi" w:hAnsiTheme="majorHAnsi"/>
          <w:i/>
          <w:sz w:val="20"/>
        </w:rPr>
        <w:t xml:space="preserve">2. O procedimento de consulta pública aplica-se, com as devidas adaptações, às solicitações de alterações. </w:t>
      </w:r>
    </w:p>
    <w:p w:rsidR="00036D9F" w:rsidRPr="006D0783" w:rsidRDefault="00036D9F" w:rsidP="00CC3CE8">
      <w:pPr>
        <w:spacing w:after="120"/>
        <w:ind w:left="709"/>
        <w:rPr>
          <w:rFonts w:asciiTheme="majorHAnsi" w:hAnsiTheme="majorHAnsi"/>
          <w:i/>
          <w:sz w:val="20"/>
        </w:rPr>
      </w:pPr>
      <w:r w:rsidRPr="006D0783">
        <w:rPr>
          <w:rFonts w:asciiTheme="majorHAnsi" w:hAnsiTheme="majorHAnsi"/>
          <w:i/>
          <w:sz w:val="20"/>
        </w:rPr>
        <w:t xml:space="preserve">3. A consulta pública é anunciada com uma antecedência mínima de 8 dias, a contar da data da receção do último dos pareceres, autorizações ou aprovações, emitidos pelas entidades externas ao Município ou do termo do prazo para a sua emissão, não podendo a sua duração ser inferior a 15 dias. </w:t>
      </w:r>
    </w:p>
    <w:p w:rsidR="00036D9F" w:rsidRPr="006D0783" w:rsidRDefault="00036D9F" w:rsidP="00CC3CE8">
      <w:pPr>
        <w:spacing w:after="120"/>
        <w:ind w:left="709"/>
        <w:rPr>
          <w:rFonts w:asciiTheme="majorHAnsi" w:hAnsiTheme="majorHAnsi"/>
          <w:i/>
          <w:sz w:val="20"/>
        </w:rPr>
      </w:pPr>
      <w:r w:rsidRPr="006D0783">
        <w:rPr>
          <w:rFonts w:asciiTheme="majorHAnsi" w:hAnsiTheme="majorHAnsi"/>
          <w:i/>
          <w:sz w:val="20"/>
        </w:rPr>
        <w:t xml:space="preserve">4. O anúncio referido no número anterior deverá ser ainda publicitado através de edital, em dois jornais regionais e por aviso na II série do Diário da República, sendo os custos de publicação suportados pelo promotor da operação. </w:t>
      </w:r>
    </w:p>
    <w:p w:rsidR="00036D9F" w:rsidRPr="006D0783" w:rsidRDefault="00036D9F" w:rsidP="00CC3CE8">
      <w:pPr>
        <w:spacing w:after="120"/>
        <w:ind w:left="709"/>
        <w:rPr>
          <w:rFonts w:asciiTheme="majorHAnsi" w:hAnsiTheme="majorHAnsi"/>
          <w:i/>
          <w:sz w:val="20"/>
        </w:rPr>
      </w:pPr>
      <w:r w:rsidRPr="006D0783">
        <w:rPr>
          <w:rFonts w:asciiTheme="majorHAnsi" w:hAnsiTheme="majorHAnsi"/>
          <w:i/>
          <w:sz w:val="20"/>
        </w:rPr>
        <w:t xml:space="preserve">5. A Câmara Municipal deverá acompanhar a publicação do anúncio referido nos números anteriores pela publicação, em local de destaque do site Camarário, de um aviso do início da consulta pública, disponibilizando on-line, sempre que a capacidade do sistema de suporte o permita, a documentação referente à mesma. </w:t>
      </w:r>
    </w:p>
    <w:p w:rsidR="00CC3CE8" w:rsidRPr="006D0783" w:rsidRDefault="00036D9F" w:rsidP="00CC3CE8">
      <w:pPr>
        <w:spacing w:after="120"/>
        <w:ind w:left="709"/>
        <w:rPr>
          <w:rFonts w:asciiTheme="majorHAnsi" w:hAnsiTheme="majorHAnsi"/>
          <w:i/>
          <w:sz w:val="20"/>
        </w:rPr>
      </w:pPr>
      <w:r w:rsidRPr="006D0783">
        <w:rPr>
          <w:rFonts w:asciiTheme="majorHAnsi" w:hAnsiTheme="majorHAnsi"/>
          <w:i/>
          <w:sz w:val="20"/>
        </w:rPr>
        <w:t>6. (Revogado).</w:t>
      </w:r>
    </w:p>
    <w:p w:rsidR="00CC3CE8" w:rsidRPr="00CC3CE8" w:rsidRDefault="00CC3CE8" w:rsidP="00CC3CE8">
      <w:pPr>
        <w:ind w:left="709"/>
        <w:rPr>
          <w:rFonts w:asciiTheme="majorHAnsi" w:hAnsiTheme="majorHAnsi"/>
          <w:sz w:val="2"/>
        </w:rPr>
      </w:pPr>
    </w:p>
    <w:p w:rsidR="00036D9F" w:rsidRPr="00CC3CE8" w:rsidRDefault="00036D9F" w:rsidP="00CC3CE8">
      <w:pPr>
        <w:pStyle w:val="PargrafodaLista"/>
        <w:numPr>
          <w:ilvl w:val="0"/>
          <w:numId w:val="6"/>
        </w:numPr>
        <w:rPr>
          <w:rFonts w:asciiTheme="majorHAnsi" w:hAnsiTheme="majorHAnsi"/>
          <w:b/>
        </w:rPr>
      </w:pPr>
      <w:r w:rsidRPr="00CC3CE8">
        <w:rPr>
          <w:rFonts w:asciiTheme="majorHAnsi" w:hAnsiTheme="majorHAnsi"/>
          <w:b/>
        </w:rPr>
        <w:t>Projecto de relevante interesse municipal</w:t>
      </w:r>
    </w:p>
    <w:p w:rsidR="00036D9F" w:rsidRPr="00CC3CE8" w:rsidRDefault="00036D9F" w:rsidP="00036D9F">
      <w:pPr>
        <w:rPr>
          <w:rFonts w:asciiTheme="majorHAnsi" w:hAnsiTheme="majorHAnsi"/>
        </w:rPr>
      </w:pPr>
      <w:r w:rsidRPr="00CC3CE8">
        <w:rPr>
          <w:rFonts w:asciiTheme="majorHAnsi" w:hAnsiTheme="majorHAnsi"/>
        </w:rPr>
        <w:t>Não sabemos se, além do interesse municipal invocado para a dimensão do estacionamento, o projecto foi classificado como Projecto de Relevante Interesse Municipal.</w:t>
      </w:r>
      <w:r w:rsidR="008B2CB4">
        <w:rPr>
          <w:rFonts w:asciiTheme="majorHAnsi" w:hAnsiTheme="majorHAnsi"/>
        </w:rPr>
        <w:t xml:space="preserve"> É provável que não, uma vez que o regulamento dos PRIM só foi estabelecido em 2016 (A</w:t>
      </w:r>
      <w:r w:rsidR="008B2CB4" w:rsidRPr="00CC3CE8">
        <w:rPr>
          <w:rFonts w:asciiTheme="majorHAnsi" w:hAnsiTheme="majorHAnsi"/>
        </w:rPr>
        <w:t>viso nº6185/ 2016 de 16 de Maio</w:t>
      </w:r>
      <w:r w:rsidR="008B2CB4">
        <w:rPr>
          <w:rFonts w:asciiTheme="majorHAnsi" w:hAnsiTheme="majorHAnsi"/>
        </w:rPr>
        <w:t>)</w:t>
      </w:r>
    </w:p>
    <w:p w:rsidR="008B2CB4" w:rsidRDefault="00036D9F" w:rsidP="00036D9F">
      <w:pPr>
        <w:rPr>
          <w:rFonts w:asciiTheme="majorHAnsi" w:hAnsiTheme="majorHAnsi"/>
        </w:rPr>
      </w:pPr>
      <w:r w:rsidRPr="00CC3CE8">
        <w:rPr>
          <w:rFonts w:asciiTheme="majorHAnsi" w:hAnsiTheme="majorHAnsi"/>
        </w:rPr>
        <w:t>Seja como for, a própria CMS esclarece (Art. 10º do</w:t>
      </w:r>
      <w:r w:rsidR="008B2CB4">
        <w:rPr>
          <w:rFonts w:asciiTheme="majorHAnsi" w:hAnsiTheme="majorHAnsi"/>
        </w:rPr>
        <w:t xml:space="preserve"> citado aviso</w:t>
      </w:r>
      <w:r w:rsidRPr="00CC3CE8">
        <w:rPr>
          <w:rFonts w:asciiTheme="majorHAnsi" w:hAnsiTheme="majorHAnsi"/>
        </w:rPr>
        <w:t>) que</w:t>
      </w:r>
      <w:r w:rsidR="008B2CB4">
        <w:rPr>
          <w:rFonts w:asciiTheme="majorHAnsi" w:hAnsiTheme="majorHAnsi"/>
        </w:rPr>
        <w:t>:</w:t>
      </w:r>
      <w:r w:rsidRPr="00CC3CE8">
        <w:rPr>
          <w:rFonts w:asciiTheme="majorHAnsi" w:hAnsiTheme="majorHAnsi"/>
        </w:rPr>
        <w:t xml:space="preserve"> </w:t>
      </w:r>
    </w:p>
    <w:p w:rsidR="006D0783" w:rsidRDefault="00036D9F" w:rsidP="008B2CB4">
      <w:pPr>
        <w:ind w:left="708"/>
        <w:rPr>
          <w:rFonts w:asciiTheme="majorHAnsi" w:hAnsiTheme="majorHAnsi"/>
        </w:rPr>
      </w:pPr>
      <w:r w:rsidRPr="006D0783">
        <w:rPr>
          <w:rFonts w:asciiTheme="majorHAnsi" w:hAnsiTheme="majorHAnsi"/>
          <w:i/>
        </w:rPr>
        <w:t>«o reconhecimento de um projecto como PRIM não dispensa o integral cumprimento das normas legais e regulamentos aplicáveis, não sendo constitutivo de direitos</w:t>
      </w:r>
      <w:r w:rsidRPr="00CC3CE8">
        <w:rPr>
          <w:rFonts w:asciiTheme="majorHAnsi" w:hAnsiTheme="majorHAnsi"/>
        </w:rPr>
        <w:t xml:space="preserve">». </w:t>
      </w:r>
    </w:p>
    <w:p w:rsidR="00CC3CE8" w:rsidRDefault="008B2CB4" w:rsidP="008B2CB4">
      <w:pPr>
        <w:rPr>
          <w:rFonts w:asciiTheme="majorHAnsi" w:hAnsiTheme="majorHAnsi"/>
        </w:rPr>
      </w:pPr>
      <w:r>
        <w:rPr>
          <w:rFonts w:asciiTheme="majorHAnsi" w:hAnsiTheme="majorHAnsi"/>
        </w:rPr>
        <w:t>E ainda:</w:t>
      </w:r>
      <w:r>
        <w:rPr>
          <w:rFonts w:asciiTheme="majorHAnsi" w:hAnsiTheme="majorHAnsi"/>
        </w:rPr>
        <w:tab/>
        <w:t xml:space="preserve"> </w:t>
      </w:r>
      <w:r w:rsidR="00036D9F" w:rsidRPr="00CC3CE8">
        <w:rPr>
          <w:rFonts w:asciiTheme="majorHAnsi" w:hAnsiTheme="majorHAnsi"/>
        </w:rPr>
        <w:t>«</w:t>
      </w:r>
      <w:r>
        <w:rPr>
          <w:rFonts w:asciiTheme="majorHAnsi" w:hAnsiTheme="majorHAnsi"/>
          <w:i/>
        </w:rPr>
        <w:t xml:space="preserve">quaisquer </w:t>
      </w:r>
      <w:r w:rsidR="00036D9F" w:rsidRPr="006D0783">
        <w:rPr>
          <w:rFonts w:asciiTheme="majorHAnsi" w:hAnsiTheme="majorHAnsi"/>
          <w:i/>
        </w:rPr>
        <w:t>omissões e dúvidas, relativas à interpretação e aplicação do presente regulamento são resolvidas pelo Presidente da Câmara com observância da legislação em vigor</w:t>
      </w:r>
      <w:r w:rsidR="00036D9F" w:rsidRPr="00CC3CE8">
        <w:rPr>
          <w:rFonts w:asciiTheme="majorHAnsi" w:hAnsiTheme="majorHAnsi"/>
        </w:rPr>
        <w:t xml:space="preserve">» (Art.25º do mesmo aviso). </w:t>
      </w:r>
    </w:p>
    <w:p w:rsidR="003135C0" w:rsidRDefault="003135C0" w:rsidP="00CC3CE8">
      <w:pPr>
        <w:shd w:val="clear" w:color="auto" w:fill="FFFFFF" w:themeFill="background1"/>
        <w:ind w:left="426"/>
        <w:rPr>
          <w:rFonts w:asciiTheme="majorHAnsi" w:hAnsiTheme="majorHAnsi"/>
          <w:b/>
        </w:rPr>
      </w:pPr>
      <w:bookmarkStart w:id="0" w:name="_GoBack"/>
      <w:bookmarkEnd w:id="0"/>
    </w:p>
    <w:sectPr w:rsidR="003135C0">
      <w:footerReference w:type="default" r:id="rId10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C1AB8" w:rsidRDefault="001C1AB8" w:rsidP="00351173">
      <w:pPr>
        <w:spacing w:after="0" w:line="240" w:lineRule="auto"/>
      </w:pPr>
      <w:r>
        <w:separator/>
      </w:r>
    </w:p>
  </w:endnote>
  <w:endnote w:type="continuationSeparator" w:id="0">
    <w:p w:rsidR="001C1AB8" w:rsidRDefault="001C1AB8" w:rsidP="0035117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980913638"/>
      <w:docPartObj>
        <w:docPartGallery w:val="Page Numbers (Bottom of Page)"/>
        <w:docPartUnique/>
      </w:docPartObj>
    </w:sdtPr>
    <w:sdtEndPr>
      <w:rPr>
        <w:sz w:val="16"/>
      </w:rPr>
    </w:sdtEndPr>
    <w:sdtContent>
      <w:p w:rsidR="006B5862" w:rsidRPr="00351173" w:rsidRDefault="006B5862">
        <w:pPr>
          <w:pStyle w:val="Rodap"/>
          <w:jc w:val="right"/>
          <w:rPr>
            <w:sz w:val="16"/>
          </w:rPr>
        </w:pPr>
        <w:r w:rsidRPr="00351173">
          <w:rPr>
            <w:sz w:val="16"/>
          </w:rPr>
          <w:fldChar w:fldCharType="begin"/>
        </w:r>
        <w:r w:rsidRPr="00351173">
          <w:rPr>
            <w:sz w:val="16"/>
          </w:rPr>
          <w:instrText>PAGE   \* MERGEFORMAT</w:instrText>
        </w:r>
        <w:r w:rsidRPr="00351173">
          <w:rPr>
            <w:sz w:val="16"/>
          </w:rPr>
          <w:fldChar w:fldCharType="separate"/>
        </w:r>
        <w:r w:rsidR="00D3715F">
          <w:rPr>
            <w:noProof/>
            <w:sz w:val="16"/>
          </w:rPr>
          <w:t>4</w:t>
        </w:r>
        <w:r w:rsidRPr="00351173">
          <w:rPr>
            <w:sz w:val="16"/>
          </w:rPr>
          <w:fldChar w:fldCharType="end"/>
        </w:r>
      </w:p>
    </w:sdtContent>
  </w:sdt>
  <w:p w:rsidR="006B5862" w:rsidRDefault="006B5862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C1AB8" w:rsidRDefault="001C1AB8" w:rsidP="00351173">
      <w:pPr>
        <w:spacing w:after="0" w:line="240" w:lineRule="auto"/>
      </w:pPr>
      <w:r>
        <w:separator/>
      </w:r>
    </w:p>
  </w:footnote>
  <w:footnote w:type="continuationSeparator" w:id="0">
    <w:p w:rsidR="001C1AB8" w:rsidRDefault="001C1AB8" w:rsidP="0035117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81B47C7"/>
    <w:multiLevelType w:val="hybridMultilevel"/>
    <w:tmpl w:val="E3E4309C"/>
    <w:lvl w:ilvl="0" w:tplc="08160017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788" w:hanging="360"/>
      </w:pPr>
    </w:lvl>
    <w:lvl w:ilvl="2" w:tplc="0816001B" w:tentative="1">
      <w:start w:val="1"/>
      <w:numFmt w:val="lowerRoman"/>
      <w:lvlText w:val="%3."/>
      <w:lvlJc w:val="right"/>
      <w:pPr>
        <w:ind w:left="2508" w:hanging="180"/>
      </w:pPr>
    </w:lvl>
    <w:lvl w:ilvl="3" w:tplc="0816000F" w:tentative="1">
      <w:start w:val="1"/>
      <w:numFmt w:val="decimal"/>
      <w:lvlText w:val="%4."/>
      <w:lvlJc w:val="left"/>
      <w:pPr>
        <w:ind w:left="3228" w:hanging="360"/>
      </w:pPr>
    </w:lvl>
    <w:lvl w:ilvl="4" w:tplc="08160019" w:tentative="1">
      <w:start w:val="1"/>
      <w:numFmt w:val="lowerLetter"/>
      <w:lvlText w:val="%5."/>
      <w:lvlJc w:val="left"/>
      <w:pPr>
        <w:ind w:left="3948" w:hanging="360"/>
      </w:pPr>
    </w:lvl>
    <w:lvl w:ilvl="5" w:tplc="0816001B" w:tentative="1">
      <w:start w:val="1"/>
      <w:numFmt w:val="lowerRoman"/>
      <w:lvlText w:val="%6."/>
      <w:lvlJc w:val="right"/>
      <w:pPr>
        <w:ind w:left="4668" w:hanging="180"/>
      </w:pPr>
    </w:lvl>
    <w:lvl w:ilvl="6" w:tplc="0816000F" w:tentative="1">
      <w:start w:val="1"/>
      <w:numFmt w:val="decimal"/>
      <w:lvlText w:val="%7."/>
      <w:lvlJc w:val="left"/>
      <w:pPr>
        <w:ind w:left="5388" w:hanging="360"/>
      </w:pPr>
    </w:lvl>
    <w:lvl w:ilvl="7" w:tplc="08160019" w:tentative="1">
      <w:start w:val="1"/>
      <w:numFmt w:val="lowerLetter"/>
      <w:lvlText w:val="%8."/>
      <w:lvlJc w:val="left"/>
      <w:pPr>
        <w:ind w:left="6108" w:hanging="360"/>
      </w:pPr>
    </w:lvl>
    <w:lvl w:ilvl="8" w:tplc="08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 w15:restartNumberingAfterBreak="0">
    <w:nsid w:val="465B4CDE"/>
    <w:multiLevelType w:val="hybridMultilevel"/>
    <w:tmpl w:val="2940EF4E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E7D46B2"/>
    <w:multiLevelType w:val="hybridMultilevel"/>
    <w:tmpl w:val="DFFC5E6E"/>
    <w:lvl w:ilvl="0" w:tplc="05BA2EC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3FF0914"/>
    <w:multiLevelType w:val="hybridMultilevel"/>
    <w:tmpl w:val="3468ED20"/>
    <w:lvl w:ilvl="0" w:tplc="08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6AF0F38"/>
    <w:multiLevelType w:val="hybridMultilevel"/>
    <w:tmpl w:val="495E0CA4"/>
    <w:lvl w:ilvl="0" w:tplc="0816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87E74EC"/>
    <w:multiLevelType w:val="hybridMultilevel"/>
    <w:tmpl w:val="8E6A2384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5"/>
  </w:num>
  <w:num w:numId="3">
    <w:abstractNumId w:val="0"/>
  </w:num>
  <w:num w:numId="4">
    <w:abstractNumId w:val="1"/>
  </w:num>
  <w:num w:numId="5">
    <w:abstractNumId w:val="4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0F84"/>
    <w:rsid w:val="00005327"/>
    <w:rsid w:val="00034980"/>
    <w:rsid w:val="00036D9F"/>
    <w:rsid w:val="00054797"/>
    <w:rsid w:val="000711C7"/>
    <w:rsid w:val="0009175D"/>
    <w:rsid w:val="00093EDF"/>
    <w:rsid w:val="00095012"/>
    <w:rsid w:val="00096083"/>
    <w:rsid w:val="00111EB1"/>
    <w:rsid w:val="00181C65"/>
    <w:rsid w:val="0018312D"/>
    <w:rsid w:val="001C0685"/>
    <w:rsid w:val="001C1AB8"/>
    <w:rsid w:val="001D07A5"/>
    <w:rsid w:val="001E2A2E"/>
    <w:rsid w:val="001E5432"/>
    <w:rsid w:val="001E6E2D"/>
    <w:rsid w:val="00213D39"/>
    <w:rsid w:val="00244975"/>
    <w:rsid w:val="00285FE0"/>
    <w:rsid w:val="00291F98"/>
    <w:rsid w:val="002B216A"/>
    <w:rsid w:val="002D4E3C"/>
    <w:rsid w:val="002E30F3"/>
    <w:rsid w:val="003135C0"/>
    <w:rsid w:val="00346E79"/>
    <w:rsid w:val="00351173"/>
    <w:rsid w:val="0036073E"/>
    <w:rsid w:val="003B5F08"/>
    <w:rsid w:val="003C20A8"/>
    <w:rsid w:val="003C5090"/>
    <w:rsid w:val="003E0308"/>
    <w:rsid w:val="003F64D8"/>
    <w:rsid w:val="00454D77"/>
    <w:rsid w:val="00483EBC"/>
    <w:rsid w:val="00486227"/>
    <w:rsid w:val="00512E59"/>
    <w:rsid w:val="00527D86"/>
    <w:rsid w:val="00577AA3"/>
    <w:rsid w:val="0058387F"/>
    <w:rsid w:val="00593548"/>
    <w:rsid w:val="005B07E0"/>
    <w:rsid w:val="005E2A1E"/>
    <w:rsid w:val="0061613E"/>
    <w:rsid w:val="00642421"/>
    <w:rsid w:val="00651B11"/>
    <w:rsid w:val="006555E4"/>
    <w:rsid w:val="00665BF6"/>
    <w:rsid w:val="006B5862"/>
    <w:rsid w:val="006D0783"/>
    <w:rsid w:val="006F23CB"/>
    <w:rsid w:val="00743946"/>
    <w:rsid w:val="00755D21"/>
    <w:rsid w:val="00780B76"/>
    <w:rsid w:val="007C0AC7"/>
    <w:rsid w:val="007C41F6"/>
    <w:rsid w:val="0080056C"/>
    <w:rsid w:val="008348B8"/>
    <w:rsid w:val="008A091B"/>
    <w:rsid w:val="008B2CB4"/>
    <w:rsid w:val="008F2238"/>
    <w:rsid w:val="009177A5"/>
    <w:rsid w:val="009725B8"/>
    <w:rsid w:val="009A7F71"/>
    <w:rsid w:val="009C4C82"/>
    <w:rsid w:val="009C674C"/>
    <w:rsid w:val="00A35C34"/>
    <w:rsid w:val="00A43F65"/>
    <w:rsid w:val="00B015A9"/>
    <w:rsid w:val="00B02F1B"/>
    <w:rsid w:val="00B177F0"/>
    <w:rsid w:val="00B45EF3"/>
    <w:rsid w:val="00B52D60"/>
    <w:rsid w:val="00B63E07"/>
    <w:rsid w:val="00B95091"/>
    <w:rsid w:val="00BA508B"/>
    <w:rsid w:val="00BF77DF"/>
    <w:rsid w:val="00BF7F84"/>
    <w:rsid w:val="00C47DE6"/>
    <w:rsid w:val="00C60F84"/>
    <w:rsid w:val="00C63501"/>
    <w:rsid w:val="00CC3CE8"/>
    <w:rsid w:val="00CE0A14"/>
    <w:rsid w:val="00CF0AB9"/>
    <w:rsid w:val="00CF196C"/>
    <w:rsid w:val="00D02AE2"/>
    <w:rsid w:val="00D31D44"/>
    <w:rsid w:val="00D3715F"/>
    <w:rsid w:val="00D57BA6"/>
    <w:rsid w:val="00D734BA"/>
    <w:rsid w:val="00D74FBC"/>
    <w:rsid w:val="00D80AF4"/>
    <w:rsid w:val="00D86DFE"/>
    <w:rsid w:val="00D90FA8"/>
    <w:rsid w:val="00DB5A62"/>
    <w:rsid w:val="00DB6967"/>
    <w:rsid w:val="00E037B3"/>
    <w:rsid w:val="00E32042"/>
    <w:rsid w:val="00E55136"/>
    <w:rsid w:val="00E75AC1"/>
    <w:rsid w:val="00F05ECB"/>
    <w:rsid w:val="00F1701C"/>
    <w:rsid w:val="00F244EF"/>
    <w:rsid w:val="00F371E7"/>
    <w:rsid w:val="00F500EA"/>
    <w:rsid w:val="00F645A3"/>
    <w:rsid w:val="00F73131"/>
    <w:rsid w:val="00FA2092"/>
    <w:rsid w:val="00FB2D7E"/>
    <w:rsid w:val="00FE52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3DF1A4E-5BA3-4C22-B699-CACF2CBF5B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CE0A14"/>
    <w:rPr>
      <w:rFonts w:ascii="Times New Roman" w:hAnsi="Times New Roman" w:cs="Times New Roman"/>
      <w:sz w:val="24"/>
      <w:szCs w:val="24"/>
    </w:rPr>
  </w:style>
  <w:style w:type="paragraph" w:styleId="PargrafodaLista">
    <w:name w:val="List Paragraph"/>
    <w:basedOn w:val="Normal"/>
    <w:uiPriority w:val="34"/>
    <w:qFormat/>
    <w:rsid w:val="00A43F65"/>
    <w:pPr>
      <w:ind w:left="720"/>
      <w:contextualSpacing/>
    </w:pPr>
  </w:style>
  <w:style w:type="paragraph" w:styleId="Cabealho">
    <w:name w:val="header"/>
    <w:basedOn w:val="Normal"/>
    <w:link w:val="CabealhoCarter"/>
    <w:uiPriority w:val="99"/>
    <w:unhideWhenUsed/>
    <w:rsid w:val="0035117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351173"/>
  </w:style>
  <w:style w:type="paragraph" w:styleId="Rodap">
    <w:name w:val="footer"/>
    <w:basedOn w:val="Normal"/>
    <w:link w:val="RodapCarter"/>
    <w:uiPriority w:val="99"/>
    <w:unhideWhenUsed/>
    <w:rsid w:val="0035117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arter">
    <w:name w:val="Rodapé Caráter"/>
    <w:basedOn w:val="Tipodeletrapredefinidodopargrafo"/>
    <w:link w:val="Rodap"/>
    <w:uiPriority w:val="99"/>
    <w:rsid w:val="0035117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92466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765668">
          <w:marLeft w:val="0"/>
          <w:marRight w:val="300"/>
          <w:marTop w:val="75"/>
          <w:marBottom w:val="300"/>
          <w:divBdr>
            <w:top w:val="single" w:sz="6" w:space="4" w:color="F0F0F0"/>
            <w:left w:val="single" w:sz="6" w:space="2" w:color="F0F0F0"/>
            <w:bottom w:val="single" w:sz="6" w:space="8" w:color="F0F0F0"/>
            <w:right w:val="single" w:sz="6" w:space="2" w:color="F0F0F0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3.e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1475</Words>
  <Characters>7969</Characters>
  <Application>Microsoft Office Word</Application>
  <DocSecurity>0</DocSecurity>
  <Lines>66</Lines>
  <Paragraphs>18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josé cerejo</dc:creator>
  <cp:keywords/>
  <dc:description/>
  <cp:lastModifiedBy>Madalena Martins</cp:lastModifiedBy>
  <cp:revision>2</cp:revision>
  <dcterms:created xsi:type="dcterms:W3CDTF">2018-03-06T22:47:00Z</dcterms:created>
  <dcterms:modified xsi:type="dcterms:W3CDTF">2018-03-06T22:47:00Z</dcterms:modified>
</cp:coreProperties>
</file>